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6" w:type="dxa"/>
        <w:jc w:val="center"/>
        <w:tblBorders>
          <w:insideH w:val="single" w:sz="4" w:space="0" w:color="FF6600"/>
        </w:tblBorders>
        <w:tblLayout w:type="fixed"/>
        <w:tblLook w:val="01E0" w:firstRow="1" w:lastRow="1" w:firstColumn="1" w:lastColumn="1" w:noHBand="0" w:noVBand="0"/>
      </w:tblPr>
      <w:tblGrid>
        <w:gridCol w:w="2444"/>
        <w:gridCol w:w="7582"/>
      </w:tblGrid>
      <w:tr w:rsidR="00B640C8" w:rsidTr="006C6D36">
        <w:trPr>
          <w:cantSplit/>
          <w:trHeight w:val="893"/>
          <w:jc w:val="center"/>
        </w:trPr>
        <w:tc>
          <w:tcPr>
            <w:tcW w:w="2444" w:type="dxa"/>
            <w:vMerge w:val="restart"/>
            <w:vAlign w:val="center"/>
          </w:tcPr>
          <w:p w:rsidR="00B640C8" w:rsidRDefault="000633CE" w:rsidP="006C6D36">
            <w:pPr>
              <w:jc w:val="center"/>
              <w:rPr>
                <w:lang w:val="en-US"/>
              </w:rPr>
            </w:pPr>
            <w:r>
              <w:rPr>
                <w:noProof/>
              </w:rPr>
              <w:drawing>
                <wp:anchor distT="0" distB="0" distL="114300" distR="114300" simplePos="0" relativeHeight="251652608" behindDoc="1" locked="0" layoutInCell="1" allowOverlap="1">
                  <wp:simplePos x="0" y="0"/>
                  <wp:positionH relativeFrom="column">
                    <wp:posOffset>20320</wp:posOffset>
                  </wp:positionH>
                  <wp:positionV relativeFrom="paragraph">
                    <wp:posOffset>-100330</wp:posOffset>
                  </wp:positionV>
                  <wp:extent cx="1252855" cy="1011555"/>
                  <wp:effectExtent l="19050" t="0" r="4445" b="0"/>
                  <wp:wrapNone/>
                  <wp:docPr id="7" name="Εικόνα 10" descr="imelogofin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imelogofinal5"/>
                          <pic:cNvPicPr>
                            <a:picLocks noChangeAspect="1" noChangeArrowheads="1"/>
                          </pic:cNvPicPr>
                        </pic:nvPicPr>
                        <pic:blipFill>
                          <a:blip r:embed="rId9"/>
                          <a:srcRect/>
                          <a:stretch>
                            <a:fillRect/>
                          </a:stretch>
                        </pic:blipFill>
                        <pic:spPr bwMode="auto">
                          <a:xfrm>
                            <a:off x="0" y="0"/>
                            <a:ext cx="1252855" cy="1011555"/>
                          </a:xfrm>
                          <a:prstGeom prst="rect">
                            <a:avLst/>
                          </a:prstGeom>
                          <a:noFill/>
                          <a:ln w="9525">
                            <a:noFill/>
                            <a:miter lim="800000"/>
                            <a:headEnd/>
                            <a:tailEnd/>
                          </a:ln>
                        </pic:spPr>
                      </pic:pic>
                    </a:graphicData>
                  </a:graphic>
                </wp:anchor>
              </w:drawing>
            </w:r>
          </w:p>
        </w:tc>
        <w:tc>
          <w:tcPr>
            <w:tcW w:w="7582" w:type="dxa"/>
            <w:vAlign w:val="center"/>
          </w:tcPr>
          <w:p w:rsidR="00B640C8" w:rsidRDefault="00B640C8" w:rsidP="006C6D36">
            <w:pPr>
              <w:autoSpaceDE w:val="0"/>
              <w:autoSpaceDN w:val="0"/>
              <w:adjustRightInd w:val="0"/>
              <w:jc w:val="center"/>
              <w:rPr>
                <w:rFonts w:ascii="Trebuchet MS" w:hAnsi="Trebuchet MS" w:cs="Trebuchet MS"/>
                <w:b/>
                <w:bCs/>
                <w:color w:val="626262"/>
                <w:spacing w:val="20"/>
                <w:sz w:val="30"/>
                <w:szCs w:val="30"/>
              </w:rPr>
            </w:pPr>
            <w:r>
              <w:rPr>
                <w:rFonts w:ascii="Trebuchet MS" w:hAnsi="Trebuchet MS" w:cs="Trebuchet MS"/>
                <w:b/>
                <w:bCs/>
                <w:color w:val="626262"/>
                <w:spacing w:val="20"/>
                <w:sz w:val="40"/>
                <w:szCs w:val="40"/>
              </w:rPr>
              <w:t xml:space="preserve">ΙΝΣΤΙΤΟΥΤΟ ΜΙΚΡΩΝ ΕΠΙΧΕΙΡΗΣΕΩΝ        </w:t>
            </w:r>
          </w:p>
          <w:p w:rsidR="00B640C8" w:rsidRDefault="00B640C8" w:rsidP="006C6D36">
            <w:pPr>
              <w:autoSpaceDE w:val="0"/>
              <w:autoSpaceDN w:val="0"/>
              <w:adjustRightInd w:val="0"/>
              <w:jc w:val="center"/>
              <w:rPr>
                <w:rFonts w:ascii="Trebuchet MS" w:hAnsi="Trebuchet MS" w:cs="Trebuchet MS"/>
                <w:b/>
                <w:bCs/>
                <w:color w:val="626262"/>
                <w:spacing w:val="20"/>
              </w:rPr>
            </w:pPr>
            <w:r>
              <w:rPr>
                <w:rFonts w:ascii="Trebuchet MS" w:hAnsi="Trebuchet MS" w:cs="Trebuchet MS"/>
                <w:b/>
                <w:bCs/>
                <w:color w:val="626262"/>
                <w:spacing w:val="20"/>
              </w:rPr>
              <w:t xml:space="preserve">ΓΕΝΙΚΗ ΣΥΝΟΜΟΣΠΟΝΔΙΑ  ΕΠΑΓΓΕΛΜΑΤΙΩΝ  ΒΙΟΤΕΧΝΩΝ ΕΜΠΟΡΩΝ  ΕΛΛΑΔΑΣ </w:t>
            </w:r>
          </w:p>
        </w:tc>
      </w:tr>
      <w:tr w:rsidR="00B640C8" w:rsidTr="006C6D36">
        <w:trPr>
          <w:cantSplit/>
          <w:trHeight w:val="70"/>
          <w:jc w:val="center"/>
        </w:trPr>
        <w:tc>
          <w:tcPr>
            <w:tcW w:w="2444" w:type="dxa"/>
            <w:vMerge/>
          </w:tcPr>
          <w:p w:rsidR="00B640C8" w:rsidRDefault="00B640C8" w:rsidP="006C6D36"/>
        </w:tc>
        <w:tc>
          <w:tcPr>
            <w:tcW w:w="7582" w:type="dxa"/>
            <w:vAlign w:val="center"/>
          </w:tcPr>
          <w:p w:rsidR="00B640C8" w:rsidRDefault="00B640C8" w:rsidP="006C6D36">
            <w:pPr>
              <w:autoSpaceDE w:val="0"/>
              <w:autoSpaceDN w:val="0"/>
              <w:adjustRightInd w:val="0"/>
              <w:jc w:val="center"/>
              <w:rPr>
                <w:rFonts w:ascii="Century Gothic" w:hAnsi="Century Gothic" w:cs="Trebuchet MS"/>
                <w:b/>
                <w:bCs/>
                <w:color w:val="626262"/>
              </w:rPr>
            </w:pPr>
            <w:r>
              <w:rPr>
                <w:rFonts w:ascii="Century Gothic" w:hAnsi="Century Gothic" w:cs="Trebuchet MS"/>
                <w:b/>
                <w:bCs/>
                <w:color w:val="626262"/>
                <w:sz w:val="22"/>
                <w:szCs w:val="22"/>
              </w:rPr>
              <w:t xml:space="preserve">Αριστοτέλους 46, 104 33 Αθήνα, </w:t>
            </w:r>
            <w:proofErr w:type="spellStart"/>
            <w:r>
              <w:rPr>
                <w:rFonts w:ascii="Century Gothic" w:hAnsi="Century Gothic" w:cs="Trebuchet MS"/>
                <w:b/>
                <w:bCs/>
                <w:color w:val="626262"/>
                <w:sz w:val="22"/>
                <w:szCs w:val="22"/>
              </w:rPr>
              <w:t>Τηλ</w:t>
            </w:r>
            <w:proofErr w:type="spellEnd"/>
            <w:r>
              <w:rPr>
                <w:rFonts w:ascii="Century Gothic" w:hAnsi="Century Gothic" w:cs="Trebuchet MS"/>
                <w:b/>
                <w:bCs/>
                <w:color w:val="626262"/>
                <w:sz w:val="22"/>
                <w:szCs w:val="22"/>
              </w:rPr>
              <w:t xml:space="preserve">. 210 8846852, </w:t>
            </w:r>
            <w:proofErr w:type="spellStart"/>
            <w:r>
              <w:rPr>
                <w:rFonts w:ascii="Century Gothic" w:hAnsi="Century Gothic" w:cs="Trebuchet MS"/>
                <w:b/>
                <w:bCs/>
                <w:color w:val="626262"/>
                <w:sz w:val="22"/>
                <w:szCs w:val="22"/>
              </w:rPr>
              <w:t>Fax</w:t>
            </w:r>
            <w:proofErr w:type="spellEnd"/>
            <w:r>
              <w:rPr>
                <w:rFonts w:ascii="Century Gothic" w:hAnsi="Century Gothic" w:cs="Trebuchet MS"/>
                <w:b/>
                <w:bCs/>
                <w:color w:val="626262"/>
                <w:sz w:val="22"/>
                <w:szCs w:val="22"/>
              </w:rPr>
              <w:t>. 210 8846853</w:t>
            </w:r>
          </w:p>
          <w:p w:rsidR="00B640C8" w:rsidRDefault="006642E5" w:rsidP="006C6D36">
            <w:pPr>
              <w:autoSpaceDE w:val="0"/>
              <w:autoSpaceDN w:val="0"/>
              <w:adjustRightInd w:val="0"/>
              <w:jc w:val="center"/>
              <w:rPr>
                <w:rFonts w:ascii="Trebuchet MS" w:hAnsi="Trebuchet MS" w:cs="Trebuchet MS"/>
                <w:b/>
                <w:bCs/>
                <w:color w:val="626262"/>
              </w:rPr>
            </w:pPr>
            <w:hyperlink r:id="rId10" w:history="1">
              <w:r w:rsidR="00B640C8">
                <w:rPr>
                  <w:rFonts w:ascii="Century Gothic" w:hAnsi="Century Gothic" w:cs="Trebuchet MS"/>
                  <w:b/>
                  <w:bCs/>
                  <w:color w:val="626262"/>
                  <w:sz w:val="22"/>
                  <w:szCs w:val="22"/>
                </w:rPr>
                <w:t>www.imegsevee.gr</w:t>
              </w:r>
            </w:hyperlink>
            <w:r w:rsidR="00B640C8">
              <w:rPr>
                <w:rFonts w:ascii="Century Gothic" w:hAnsi="Century Gothic" w:cs="Trebuchet MS"/>
                <w:b/>
                <w:bCs/>
                <w:color w:val="626262"/>
                <w:sz w:val="22"/>
                <w:szCs w:val="22"/>
              </w:rPr>
              <w:t xml:space="preserve">, </w:t>
            </w:r>
            <w:hyperlink r:id="rId11" w:history="1">
              <w:r w:rsidR="00B640C8">
                <w:rPr>
                  <w:rFonts w:ascii="Century Gothic" w:hAnsi="Century Gothic" w:cs="Trebuchet MS"/>
                  <w:b/>
                  <w:bCs/>
                  <w:color w:val="626262"/>
                  <w:sz w:val="22"/>
                  <w:szCs w:val="22"/>
                </w:rPr>
                <w:t>info@imegsevee.gr</w:t>
              </w:r>
            </w:hyperlink>
            <w:r w:rsidR="00B640C8">
              <w:rPr>
                <w:rFonts w:ascii="Trebuchet MS" w:hAnsi="Trebuchet MS" w:cs="Trebuchet MS"/>
                <w:b/>
                <w:bCs/>
                <w:color w:val="626262"/>
                <w:sz w:val="22"/>
                <w:szCs w:val="22"/>
              </w:rPr>
              <w:t xml:space="preserve"> </w:t>
            </w:r>
          </w:p>
        </w:tc>
      </w:tr>
    </w:tbl>
    <w:p w:rsidR="00B640C8" w:rsidRPr="00527926" w:rsidRDefault="00CE38CF" w:rsidP="00527926">
      <w:pPr>
        <w:spacing w:line="360" w:lineRule="auto"/>
      </w:pPr>
      <w:r>
        <w:rPr>
          <w:rFonts w:ascii="Arial Narrow" w:hAnsi="Arial Narrow"/>
          <w:sz w:val="22"/>
        </w:rPr>
        <w:t>Αθήνα,</w:t>
      </w:r>
      <w:r w:rsidR="0051792E">
        <w:rPr>
          <w:rFonts w:ascii="Arial Narrow" w:hAnsi="Arial Narrow"/>
          <w:sz w:val="22"/>
        </w:rPr>
        <w:t xml:space="preserve"> 26</w:t>
      </w:r>
      <w:r w:rsidR="006E45EE" w:rsidRPr="00C840BF">
        <w:rPr>
          <w:rFonts w:ascii="Arial Narrow" w:hAnsi="Arial Narrow"/>
          <w:sz w:val="22"/>
        </w:rPr>
        <w:t xml:space="preserve"> </w:t>
      </w:r>
      <w:r w:rsidR="004B04BD">
        <w:rPr>
          <w:rFonts w:ascii="Arial Narrow" w:hAnsi="Arial Narrow"/>
          <w:sz w:val="22"/>
        </w:rPr>
        <w:t>Μαρτίου</w:t>
      </w:r>
      <w:r w:rsidR="00DE3BED">
        <w:rPr>
          <w:rFonts w:ascii="Arial Narrow" w:hAnsi="Arial Narrow"/>
          <w:sz w:val="22"/>
        </w:rPr>
        <w:t xml:space="preserve"> 201</w:t>
      </w:r>
      <w:r w:rsidR="004B04BD">
        <w:rPr>
          <w:rFonts w:ascii="Arial Narrow" w:hAnsi="Arial Narrow"/>
          <w:sz w:val="22"/>
        </w:rPr>
        <w:t>5</w:t>
      </w:r>
      <w:r w:rsidR="00B640C8">
        <w:rPr>
          <w:rFonts w:ascii="Arial Narrow" w:hAnsi="Arial Narrow"/>
          <w:sz w:val="22"/>
        </w:rPr>
        <w:tab/>
      </w:r>
      <w:r w:rsidR="00B640C8" w:rsidRPr="00621053">
        <w:rPr>
          <w:rFonts w:ascii="Arial Narrow" w:hAnsi="Arial Narrow"/>
          <w:sz w:val="22"/>
        </w:rPr>
        <w:tab/>
      </w:r>
      <w:r w:rsidR="00B640C8" w:rsidRPr="00621053">
        <w:rPr>
          <w:rFonts w:ascii="Arial Narrow" w:hAnsi="Arial Narrow"/>
          <w:sz w:val="22"/>
        </w:rPr>
        <w:tab/>
      </w:r>
      <w:r w:rsidR="00B640C8" w:rsidRPr="00621053">
        <w:rPr>
          <w:rFonts w:ascii="Arial Narrow" w:hAnsi="Arial Narrow"/>
          <w:sz w:val="22"/>
        </w:rPr>
        <w:tab/>
      </w:r>
      <w:r w:rsidR="00B640C8" w:rsidRPr="00621053">
        <w:rPr>
          <w:rFonts w:ascii="Arial Narrow" w:hAnsi="Arial Narrow"/>
          <w:sz w:val="22"/>
        </w:rPr>
        <w:tab/>
      </w:r>
      <w:r w:rsidR="00B640C8" w:rsidRPr="00621053">
        <w:rPr>
          <w:rFonts w:ascii="Arial Narrow" w:hAnsi="Arial Narrow"/>
          <w:sz w:val="22"/>
        </w:rPr>
        <w:tab/>
      </w:r>
      <w:r w:rsidR="00B640C8" w:rsidRPr="002C5FB3">
        <w:rPr>
          <w:rFonts w:ascii="Arial Narrow" w:hAnsi="Arial Narrow"/>
          <w:sz w:val="22"/>
        </w:rPr>
        <w:t xml:space="preserve">   </w:t>
      </w:r>
      <w:r w:rsidR="00B640C8" w:rsidRPr="009C1013">
        <w:rPr>
          <w:rFonts w:ascii="Arial Narrow" w:hAnsi="Arial Narrow"/>
          <w:sz w:val="22"/>
        </w:rPr>
        <w:tab/>
      </w:r>
      <w:r w:rsidR="00B640C8" w:rsidRPr="002C5FB3">
        <w:rPr>
          <w:rFonts w:ascii="Arial Narrow" w:hAnsi="Arial Narrow"/>
          <w:sz w:val="22"/>
        </w:rPr>
        <w:t xml:space="preserve">   </w:t>
      </w:r>
      <w:r w:rsidR="00B640C8">
        <w:rPr>
          <w:rFonts w:ascii="Arial Narrow" w:hAnsi="Arial Narrow"/>
          <w:sz w:val="22"/>
        </w:rPr>
        <w:tab/>
        <w:t xml:space="preserve">      </w:t>
      </w:r>
      <w:r w:rsidR="00B640C8" w:rsidRPr="002C5FB3">
        <w:rPr>
          <w:rFonts w:ascii="Arial Narrow" w:hAnsi="Arial Narrow"/>
          <w:sz w:val="22"/>
        </w:rPr>
        <w:t xml:space="preserve">       </w:t>
      </w:r>
      <w:r w:rsidR="000633CE">
        <w:rPr>
          <w:noProof/>
        </w:rPr>
        <w:drawing>
          <wp:inline distT="0" distB="0" distL="0" distR="0">
            <wp:extent cx="755015" cy="605790"/>
            <wp:effectExtent l="19050" t="0" r="6985" b="0"/>
            <wp:docPr id="1" name="Εικόνα 1" descr="Kinima Polit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Kinima Politon 2"/>
                    <pic:cNvPicPr>
                      <a:picLocks noChangeAspect="1" noChangeArrowheads="1"/>
                    </pic:cNvPicPr>
                  </pic:nvPicPr>
                  <pic:blipFill>
                    <a:blip r:embed="rId12"/>
                    <a:srcRect/>
                    <a:stretch>
                      <a:fillRect/>
                    </a:stretch>
                  </pic:blipFill>
                  <pic:spPr bwMode="auto">
                    <a:xfrm>
                      <a:off x="0" y="0"/>
                      <a:ext cx="755015" cy="605790"/>
                    </a:xfrm>
                    <a:prstGeom prst="rect">
                      <a:avLst/>
                    </a:prstGeom>
                    <a:noFill/>
                    <a:ln w="9525">
                      <a:noFill/>
                      <a:miter lim="800000"/>
                      <a:headEnd/>
                      <a:tailEnd/>
                    </a:ln>
                  </pic:spPr>
                </pic:pic>
              </a:graphicData>
            </a:graphic>
          </wp:inline>
        </w:drawing>
      </w:r>
      <w:r w:rsidR="00B640C8" w:rsidRPr="002C5FB3">
        <w:rPr>
          <w:rFonts w:ascii="Arial Narrow" w:hAnsi="Arial Narrow"/>
          <w:sz w:val="22"/>
        </w:rPr>
        <w:t xml:space="preserve"> </w:t>
      </w:r>
      <w:r w:rsidR="00B640C8">
        <w:rPr>
          <w:rFonts w:ascii="Arial Narrow" w:hAnsi="Arial Narrow"/>
          <w:sz w:val="22"/>
        </w:rPr>
        <w:tab/>
      </w:r>
      <w:r w:rsidR="00B640C8" w:rsidRPr="002C5FB3">
        <w:rPr>
          <w:rFonts w:ascii="Arial Narrow" w:hAnsi="Arial Narrow"/>
          <w:sz w:val="22"/>
        </w:rPr>
        <w:t xml:space="preserve"> </w:t>
      </w:r>
    </w:p>
    <w:p w:rsidR="00B640C8" w:rsidRDefault="00B640C8" w:rsidP="00527926">
      <w:pPr>
        <w:pBdr>
          <w:top w:val="single" w:sz="4" w:space="1" w:color="auto"/>
        </w:pBdr>
        <w:spacing w:line="360" w:lineRule="auto"/>
        <w:jc w:val="center"/>
        <w:rPr>
          <w:rFonts w:ascii="Tahoma" w:hAnsi="Tahoma" w:cs="Tahoma"/>
          <w:b/>
          <w:color w:val="0000FF"/>
        </w:rPr>
      </w:pPr>
      <w:r w:rsidRPr="00B429EE">
        <w:rPr>
          <w:rFonts w:ascii="Tahoma" w:hAnsi="Tahoma" w:cs="Tahoma"/>
          <w:b/>
          <w:color w:val="0000FF"/>
        </w:rPr>
        <w:t xml:space="preserve">ΔΕΛΤΙΟ ΤΥΠΟΥ  </w:t>
      </w:r>
    </w:p>
    <w:p w:rsidR="00B640C8" w:rsidRPr="00515965" w:rsidRDefault="00B640C8" w:rsidP="00527926">
      <w:pPr>
        <w:pBdr>
          <w:top w:val="single" w:sz="4" w:space="1" w:color="auto"/>
        </w:pBdr>
        <w:spacing w:line="360" w:lineRule="auto"/>
        <w:jc w:val="center"/>
        <w:rPr>
          <w:rFonts w:ascii="Tahoma" w:hAnsi="Tahoma" w:cs="Tahoma"/>
          <w:color w:val="000000"/>
        </w:rPr>
      </w:pPr>
    </w:p>
    <w:p w:rsidR="00B640C8" w:rsidRPr="00B429EE" w:rsidRDefault="00B640C8" w:rsidP="008F2928">
      <w:pPr>
        <w:jc w:val="both"/>
        <w:rPr>
          <w:rFonts w:ascii="Tahoma" w:hAnsi="Tahoma" w:cs="Tahoma"/>
          <w:b/>
          <w:sz w:val="22"/>
          <w:szCs w:val="22"/>
        </w:rPr>
      </w:pPr>
      <w:r w:rsidRPr="00B429EE">
        <w:rPr>
          <w:rFonts w:ascii="Tahoma" w:hAnsi="Tahoma" w:cs="Tahoma"/>
          <w:b/>
          <w:color w:val="0000FF"/>
          <w:sz w:val="22"/>
          <w:szCs w:val="22"/>
        </w:rPr>
        <w:t>Θέμα:</w:t>
      </w:r>
      <w:r w:rsidRPr="00B429EE">
        <w:rPr>
          <w:rFonts w:ascii="Tahoma" w:hAnsi="Tahoma" w:cs="Tahoma"/>
          <w:b/>
          <w:sz w:val="22"/>
          <w:szCs w:val="22"/>
        </w:rPr>
        <w:t xml:space="preserve"> Έρευνα ΙΜΕ ΓΣΕΒΕΕ- </w:t>
      </w:r>
      <w:r w:rsidR="004B04BD">
        <w:rPr>
          <w:rFonts w:ascii="Tahoma" w:hAnsi="Tahoma" w:cs="Tahoma"/>
          <w:b/>
          <w:sz w:val="22"/>
          <w:szCs w:val="22"/>
        </w:rPr>
        <w:t>Φεβρουαρίου 2015</w:t>
      </w:r>
      <w:r w:rsidRPr="00B429EE">
        <w:rPr>
          <w:rFonts w:ascii="Tahoma" w:hAnsi="Tahoma" w:cs="Tahoma"/>
          <w:b/>
          <w:sz w:val="22"/>
          <w:szCs w:val="22"/>
        </w:rPr>
        <w:t xml:space="preserve"> - Εξαμηνιαία αποτύπωση οικονομικού κλίματος στις μικρές επιχειρήσεις (0-49 άτομα προσωπικό οι οποίες αποτελούν το 99,6% των ελληνικών επιχειρήσεων)</w:t>
      </w:r>
    </w:p>
    <w:p w:rsidR="00B640C8" w:rsidRPr="00CB152C" w:rsidRDefault="00B640C8" w:rsidP="00252E0F">
      <w:pPr>
        <w:jc w:val="both"/>
        <w:rPr>
          <w:rFonts w:ascii="Tahoma" w:hAnsi="Tahoma" w:cs="Tahoma"/>
          <w:b/>
          <w:sz w:val="22"/>
          <w:szCs w:val="22"/>
          <w:u w:val="single"/>
        </w:rPr>
      </w:pPr>
    </w:p>
    <w:p w:rsidR="004B04BD" w:rsidRDefault="004B04BD" w:rsidP="004B04BD">
      <w:pPr>
        <w:jc w:val="both"/>
        <w:rPr>
          <w:rFonts w:ascii="Tahoma" w:hAnsi="Tahoma" w:cs="Tahoma"/>
          <w:sz w:val="22"/>
          <w:szCs w:val="22"/>
        </w:rPr>
      </w:pPr>
    </w:p>
    <w:p w:rsidR="00520B31" w:rsidRPr="00BE5B5D" w:rsidRDefault="004B04BD" w:rsidP="00520B31">
      <w:pPr>
        <w:ind w:left="426"/>
        <w:jc w:val="both"/>
        <w:rPr>
          <w:rFonts w:ascii="Tahoma" w:hAnsi="Tahoma" w:cs="Tahoma"/>
          <w:sz w:val="22"/>
          <w:szCs w:val="22"/>
        </w:rPr>
      </w:pPr>
      <w:r>
        <w:rPr>
          <w:rFonts w:ascii="Tahoma" w:hAnsi="Tahoma" w:cs="Tahoma"/>
          <w:sz w:val="22"/>
          <w:szCs w:val="22"/>
        </w:rPr>
        <w:t>Η εύθραυστη αισιοδοξία των μικρών επιχειρήσεων για ένα καλύτερο μέλλον</w:t>
      </w:r>
      <w:r w:rsidR="00B44B16">
        <w:rPr>
          <w:rFonts w:ascii="Tahoma" w:hAnsi="Tahoma" w:cs="Tahoma"/>
          <w:sz w:val="22"/>
          <w:szCs w:val="22"/>
        </w:rPr>
        <w:t xml:space="preserve"> (προϊόν του εκλογικού αποτελέσματος)</w:t>
      </w:r>
      <w:r w:rsidR="00E75E01">
        <w:rPr>
          <w:rFonts w:ascii="Tahoma" w:hAnsi="Tahoma" w:cs="Tahoma"/>
          <w:sz w:val="22"/>
          <w:szCs w:val="22"/>
        </w:rPr>
        <w:t xml:space="preserve"> συναντά </w:t>
      </w:r>
      <w:r>
        <w:rPr>
          <w:rFonts w:ascii="Tahoma" w:hAnsi="Tahoma" w:cs="Tahoma"/>
          <w:sz w:val="22"/>
          <w:szCs w:val="22"/>
        </w:rPr>
        <w:t>την αγωνία για την</w:t>
      </w:r>
      <w:r w:rsidR="00A87FF8">
        <w:rPr>
          <w:rFonts w:ascii="Tahoma" w:hAnsi="Tahoma" w:cs="Tahoma"/>
          <w:sz w:val="22"/>
          <w:szCs w:val="22"/>
        </w:rPr>
        <w:t xml:space="preserve"> επόμενη ημέρα της ελληνικής οικονομίας και την ανάγκη </w:t>
      </w:r>
      <w:r w:rsidR="00B81355">
        <w:rPr>
          <w:rFonts w:ascii="Tahoma" w:hAnsi="Tahoma" w:cs="Tahoma"/>
          <w:sz w:val="22"/>
          <w:szCs w:val="22"/>
        </w:rPr>
        <w:t xml:space="preserve"> επίσπευση</w:t>
      </w:r>
      <w:r w:rsidR="00A87FF8">
        <w:rPr>
          <w:rFonts w:ascii="Tahoma" w:hAnsi="Tahoma" w:cs="Tahoma"/>
          <w:sz w:val="22"/>
          <w:szCs w:val="22"/>
        </w:rPr>
        <w:t>ς</w:t>
      </w:r>
      <w:r>
        <w:rPr>
          <w:rFonts w:ascii="Tahoma" w:hAnsi="Tahoma" w:cs="Tahoma"/>
          <w:sz w:val="22"/>
          <w:szCs w:val="22"/>
        </w:rPr>
        <w:t xml:space="preserve"> εφαρμογή</w:t>
      </w:r>
      <w:r w:rsidR="00B81355">
        <w:rPr>
          <w:rFonts w:ascii="Tahoma" w:hAnsi="Tahoma" w:cs="Tahoma"/>
          <w:sz w:val="22"/>
          <w:szCs w:val="22"/>
        </w:rPr>
        <w:t>ς</w:t>
      </w:r>
      <w:r>
        <w:rPr>
          <w:rFonts w:ascii="Tahoma" w:hAnsi="Tahoma" w:cs="Tahoma"/>
          <w:sz w:val="22"/>
          <w:szCs w:val="22"/>
        </w:rPr>
        <w:t xml:space="preserve"> πολιτικών και ρυθμίσεων </w:t>
      </w:r>
      <w:r w:rsidR="00A87FF8">
        <w:rPr>
          <w:rFonts w:ascii="Tahoma" w:hAnsi="Tahoma" w:cs="Tahoma"/>
          <w:sz w:val="22"/>
          <w:szCs w:val="22"/>
        </w:rPr>
        <w:t>που θα βγάλουν</w:t>
      </w:r>
      <w:r>
        <w:rPr>
          <w:rFonts w:ascii="Tahoma" w:hAnsi="Tahoma" w:cs="Tahoma"/>
          <w:sz w:val="22"/>
          <w:szCs w:val="22"/>
        </w:rPr>
        <w:t xml:space="preserve"> τις επιχειρήσεις από το επενδυτικό τέλμα και το φαύλο κύκλο υπερχρέωσης</w:t>
      </w:r>
      <w:r w:rsidR="00B44B16">
        <w:rPr>
          <w:rFonts w:ascii="Tahoma" w:hAnsi="Tahoma" w:cs="Tahoma"/>
          <w:sz w:val="22"/>
          <w:szCs w:val="22"/>
        </w:rPr>
        <w:t>.</w:t>
      </w:r>
      <w:r w:rsidR="00520B31" w:rsidRPr="00520B31">
        <w:rPr>
          <w:rFonts w:ascii="Tahoma" w:hAnsi="Tahoma" w:cs="Tahoma"/>
          <w:sz w:val="22"/>
          <w:szCs w:val="22"/>
        </w:rPr>
        <w:t xml:space="preserve"> </w:t>
      </w:r>
      <w:r w:rsidR="000C2268">
        <w:rPr>
          <w:rFonts w:ascii="Tahoma" w:hAnsi="Tahoma" w:cs="Tahoma"/>
          <w:sz w:val="22"/>
          <w:szCs w:val="22"/>
        </w:rPr>
        <w:t>Αυτό είναι το βασικό συμπέρασμα που προκύπτει από</w:t>
      </w:r>
      <w:r w:rsidR="00B44B16">
        <w:rPr>
          <w:rFonts w:ascii="Tahoma" w:hAnsi="Tahoma" w:cs="Tahoma"/>
          <w:sz w:val="22"/>
          <w:szCs w:val="22"/>
        </w:rPr>
        <w:t xml:space="preserve"> την έρευνα οικονομικού κλίματος του ΙΜΕ-ΓΣΕΒΕΕ για το β’ εξάμηνο του 2014 και προσδο</w:t>
      </w:r>
      <w:r w:rsidR="00520B31">
        <w:rPr>
          <w:rFonts w:ascii="Tahoma" w:hAnsi="Tahoma" w:cs="Tahoma"/>
          <w:sz w:val="22"/>
          <w:szCs w:val="22"/>
        </w:rPr>
        <w:t>κιών για το α’ εξάμηνο του 2015</w:t>
      </w:r>
      <w:r w:rsidR="00520B31" w:rsidRPr="00520B31">
        <w:rPr>
          <w:rFonts w:ascii="Tahoma" w:hAnsi="Tahoma" w:cs="Tahoma"/>
          <w:sz w:val="22"/>
          <w:szCs w:val="22"/>
        </w:rPr>
        <w:t>.</w:t>
      </w:r>
      <w:r w:rsidR="000C2268">
        <w:rPr>
          <w:rFonts w:ascii="Tahoma" w:hAnsi="Tahoma" w:cs="Tahoma"/>
          <w:sz w:val="22"/>
          <w:szCs w:val="22"/>
        </w:rPr>
        <w:t xml:space="preserve"> </w:t>
      </w:r>
    </w:p>
    <w:p w:rsidR="006F62B3" w:rsidRPr="0062573C" w:rsidRDefault="00520B31" w:rsidP="00520B31">
      <w:pPr>
        <w:ind w:left="426"/>
        <w:jc w:val="both"/>
        <w:rPr>
          <w:rFonts w:ascii="Tahoma" w:hAnsi="Tahoma" w:cs="Tahoma"/>
          <w:sz w:val="22"/>
          <w:szCs w:val="22"/>
        </w:rPr>
      </w:pPr>
      <w:r>
        <w:rPr>
          <w:rFonts w:ascii="Tahoma" w:hAnsi="Tahoma" w:cs="Tahoma"/>
          <w:sz w:val="22"/>
          <w:szCs w:val="22"/>
        </w:rPr>
        <w:t>Όμως, ε</w:t>
      </w:r>
      <w:r w:rsidR="000C2268">
        <w:rPr>
          <w:rFonts w:ascii="Tahoma" w:hAnsi="Tahoma" w:cs="Tahoma"/>
          <w:sz w:val="22"/>
          <w:szCs w:val="22"/>
        </w:rPr>
        <w:t xml:space="preserve">νώ </w:t>
      </w:r>
      <w:r w:rsidR="00B44B16">
        <w:rPr>
          <w:rFonts w:ascii="Tahoma" w:hAnsi="Tahoma" w:cs="Tahoma"/>
          <w:sz w:val="22"/>
          <w:szCs w:val="22"/>
        </w:rPr>
        <w:t>εμφανίζεται να αποκλιμακώνεται η αρνητική δυναμική προσδοκιών που είχε αναπτυχθεί τα προηγούμενα χρόνια</w:t>
      </w:r>
      <w:r w:rsidR="000C2268">
        <w:rPr>
          <w:rFonts w:ascii="Tahoma" w:hAnsi="Tahoma" w:cs="Tahoma"/>
          <w:sz w:val="22"/>
          <w:szCs w:val="22"/>
        </w:rPr>
        <w:t xml:space="preserve">, </w:t>
      </w:r>
      <w:r>
        <w:rPr>
          <w:rFonts w:ascii="Tahoma" w:hAnsi="Tahoma" w:cs="Tahoma"/>
          <w:sz w:val="22"/>
          <w:szCs w:val="22"/>
        </w:rPr>
        <w:t>το πόσο θα διαρκέσει αυτή κατάσταση</w:t>
      </w:r>
      <w:r w:rsidR="00B44B16">
        <w:rPr>
          <w:rFonts w:ascii="Tahoma" w:hAnsi="Tahoma" w:cs="Tahoma"/>
          <w:sz w:val="22"/>
          <w:szCs w:val="22"/>
        </w:rPr>
        <w:t xml:space="preserve"> συναρτάται σε μεγάλο βαθμό από τη βούληση και τη δυνατότητα της νέας κυβέρνησης να εφαρμόσει πολιτικές και να εισάγει μέτρα που θα δώσουν ώθηση στην </w:t>
      </w:r>
      <w:r w:rsidR="00E75E01">
        <w:rPr>
          <w:rFonts w:ascii="Tahoma" w:hAnsi="Tahoma" w:cs="Tahoma"/>
          <w:sz w:val="22"/>
          <w:szCs w:val="22"/>
        </w:rPr>
        <w:t xml:space="preserve">πραγματική οικονομία, την </w:t>
      </w:r>
      <w:r w:rsidR="00B44B16">
        <w:rPr>
          <w:rFonts w:ascii="Tahoma" w:hAnsi="Tahoma" w:cs="Tahoma"/>
          <w:sz w:val="22"/>
          <w:szCs w:val="22"/>
        </w:rPr>
        <w:t xml:space="preserve">επιχειρηματικότητα, τις επενδύσεις, τη ρευστότητα, την απασχόληση. </w:t>
      </w:r>
      <w:r w:rsidR="000C2268">
        <w:rPr>
          <w:rFonts w:ascii="Tahoma" w:hAnsi="Tahoma" w:cs="Tahoma"/>
          <w:sz w:val="22"/>
          <w:szCs w:val="22"/>
        </w:rPr>
        <w:t xml:space="preserve">Είναι σαφές ότι οι επιχειρήσεις παραμένουν ιδιαίτερα επιφυλακτικές ως προς τις </w:t>
      </w:r>
      <w:r w:rsidR="003340C0">
        <w:rPr>
          <w:rFonts w:ascii="Tahoma" w:hAnsi="Tahoma" w:cs="Tahoma"/>
          <w:sz w:val="22"/>
          <w:szCs w:val="22"/>
        </w:rPr>
        <w:t xml:space="preserve">οικονομικές προοπτικές τους, με δεδομένο ότι 2 κυριότερα ζητήματα που τους απασχολούν, η ρευστότητα και το επενδυτικό περιβάλλον </w:t>
      </w:r>
      <w:r>
        <w:rPr>
          <w:rFonts w:ascii="Tahoma" w:hAnsi="Tahoma" w:cs="Tahoma"/>
          <w:sz w:val="22"/>
          <w:szCs w:val="22"/>
        </w:rPr>
        <w:t xml:space="preserve">όχι μόνο </w:t>
      </w:r>
      <w:r w:rsidR="003340C0">
        <w:rPr>
          <w:rFonts w:ascii="Tahoma" w:hAnsi="Tahoma" w:cs="Tahoma"/>
          <w:sz w:val="22"/>
          <w:szCs w:val="22"/>
        </w:rPr>
        <w:t xml:space="preserve">δεν έχουν αντιμετωπιστεί </w:t>
      </w:r>
      <w:r w:rsidR="0062573C">
        <w:rPr>
          <w:rFonts w:ascii="Tahoma" w:hAnsi="Tahoma" w:cs="Tahoma"/>
          <w:sz w:val="22"/>
          <w:szCs w:val="22"/>
        </w:rPr>
        <w:t>μέχρι σήμερα</w:t>
      </w:r>
      <w:r w:rsidR="00356BAD">
        <w:rPr>
          <w:rFonts w:ascii="Tahoma" w:hAnsi="Tahoma" w:cs="Tahoma"/>
          <w:sz w:val="22"/>
          <w:szCs w:val="22"/>
        </w:rPr>
        <w:t xml:space="preserve">, </w:t>
      </w:r>
      <w:r>
        <w:rPr>
          <w:rFonts w:ascii="Tahoma" w:hAnsi="Tahoma" w:cs="Tahoma"/>
          <w:sz w:val="22"/>
          <w:szCs w:val="22"/>
        </w:rPr>
        <w:t xml:space="preserve">αλλά </w:t>
      </w:r>
      <w:r w:rsidR="00356BAD">
        <w:rPr>
          <w:rFonts w:ascii="Tahoma" w:hAnsi="Tahoma" w:cs="Tahoma"/>
          <w:sz w:val="22"/>
          <w:szCs w:val="22"/>
        </w:rPr>
        <w:t>ούτε</w:t>
      </w:r>
      <w:r>
        <w:rPr>
          <w:rFonts w:ascii="Tahoma" w:hAnsi="Tahoma" w:cs="Tahoma"/>
          <w:sz w:val="22"/>
          <w:szCs w:val="22"/>
        </w:rPr>
        <w:t xml:space="preserve"> και</w:t>
      </w:r>
      <w:r w:rsidR="00356BAD">
        <w:rPr>
          <w:rFonts w:ascii="Tahoma" w:hAnsi="Tahoma" w:cs="Tahoma"/>
          <w:sz w:val="22"/>
          <w:szCs w:val="22"/>
        </w:rPr>
        <w:t xml:space="preserve"> υπάρχει στον ορίζοντα κάποια συγκεκριμένη προοπτική</w:t>
      </w:r>
      <w:r>
        <w:rPr>
          <w:rFonts w:ascii="Tahoma" w:hAnsi="Tahoma" w:cs="Tahoma"/>
          <w:sz w:val="22"/>
          <w:szCs w:val="22"/>
        </w:rPr>
        <w:t xml:space="preserve"> σε επίπεδο οικονομικής συγκυρίας και οικονομικής πολιτικής</w:t>
      </w:r>
      <w:r w:rsidR="000C2268">
        <w:rPr>
          <w:rFonts w:ascii="Tahoma" w:hAnsi="Tahoma" w:cs="Tahoma"/>
          <w:sz w:val="22"/>
          <w:szCs w:val="22"/>
        </w:rPr>
        <w:t>.</w:t>
      </w:r>
      <w:r w:rsidR="0062573C" w:rsidRPr="0062573C">
        <w:rPr>
          <w:rFonts w:ascii="Tahoma" w:hAnsi="Tahoma" w:cs="Tahoma"/>
          <w:sz w:val="22"/>
          <w:szCs w:val="22"/>
        </w:rPr>
        <w:t xml:space="preserve"> </w:t>
      </w:r>
      <w:r w:rsidR="0062573C">
        <w:rPr>
          <w:rFonts w:ascii="Tahoma" w:hAnsi="Tahoma" w:cs="Tahoma"/>
          <w:sz w:val="22"/>
          <w:szCs w:val="22"/>
        </w:rPr>
        <w:t xml:space="preserve">Αυτή η ανασφάλεια τροφοδοτεί σε μεγάλο βαθμό τις χαμηλές επιδόσεις </w:t>
      </w:r>
      <w:r w:rsidR="00356BAD">
        <w:rPr>
          <w:rFonts w:ascii="Tahoma" w:hAnsi="Tahoma" w:cs="Tahoma"/>
          <w:sz w:val="22"/>
          <w:szCs w:val="22"/>
        </w:rPr>
        <w:t xml:space="preserve">στους δείκτες </w:t>
      </w:r>
      <w:r w:rsidR="0062573C">
        <w:rPr>
          <w:rFonts w:ascii="Tahoma" w:hAnsi="Tahoma" w:cs="Tahoma"/>
          <w:sz w:val="22"/>
          <w:szCs w:val="22"/>
        </w:rPr>
        <w:t xml:space="preserve">απασχόλησης. </w:t>
      </w:r>
    </w:p>
    <w:p w:rsidR="004B04BD" w:rsidRDefault="006F62B3" w:rsidP="009B6326">
      <w:pPr>
        <w:ind w:left="426"/>
        <w:jc w:val="both"/>
        <w:rPr>
          <w:rFonts w:ascii="Tahoma" w:hAnsi="Tahoma" w:cs="Tahoma"/>
          <w:sz w:val="22"/>
          <w:szCs w:val="22"/>
        </w:rPr>
      </w:pPr>
      <w:r>
        <w:rPr>
          <w:rFonts w:ascii="Tahoma" w:hAnsi="Tahoma" w:cs="Tahoma"/>
          <w:sz w:val="22"/>
          <w:szCs w:val="22"/>
        </w:rPr>
        <w:t>Η κυβέρνηση καλείται μέσα σε ένα ενθαρρυντικό αλλά ρευστό περιβάλλον να σχεδιάσει και να εφαρμόσει ταχύτατα ρεαλιστικές λύσεις που απαντούν στις σημερινές προκλήσεις που αντιμετωπίζουν οι μικρές επιχειρήσεις.</w:t>
      </w:r>
      <w:r w:rsidR="004B04BD">
        <w:rPr>
          <w:rFonts w:ascii="Tahoma" w:hAnsi="Tahoma" w:cs="Tahoma"/>
          <w:sz w:val="22"/>
          <w:szCs w:val="22"/>
        </w:rPr>
        <w:t xml:space="preserve">   </w:t>
      </w:r>
    </w:p>
    <w:p w:rsidR="00D645E8" w:rsidRPr="00D645E8" w:rsidRDefault="00D645E8" w:rsidP="00596985">
      <w:pPr>
        <w:jc w:val="both"/>
        <w:rPr>
          <w:rFonts w:ascii="Tahoma" w:hAnsi="Tahoma" w:cs="Tahoma"/>
          <w:strike/>
          <w:color w:val="FF0000"/>
          <w:sz w:val="22"/>
          <w:szCs w:val="22"/>
        </w:rPr>
      </w:pPr>
    </w:p>
    <w:p w:rsidR="009B6326" w:rsidRDefault="009B6326" w:rsidP="009B6326">
      <w:pPr>
        <w:ind w:left="426"/>
        <w:jc w:val="both"/>
        <w:rPr>
          <w:rFonts w:ascii="Tahoma" w:hAnsi="Tahoma" w:cs="Tahoma"/>
          <w:sz w:val="22"/>
          <w:szCs w:val="22"/>
        </w:rPr>
      </w:pPr>
      <w:r w:rsidRPr="009B6326">
        <w:rPr>
          <w:rFonts w:ascii="Tahoma" w:hAnsi="Tahoma" w:cs="Tahoma"/>
          <w:sz w:val="22"/>
          <w:szCs w:val="22"/>
        </w:rPr>
        <w:t>Τα κυριότερα συμπεράσματα της έρευνας του ΙΜΕ ΓΣΕΒΕΕ</w:t>
      </w:r>
      <w:r w:rsidR="00F25918">
        <w:rPr>
          <w:rFonts w:ascii="Tahoma" w:hAnsi="Tahoma" w:cs="Tahoma"/>
          <w:sz w:val="22"/>
          <w:szCs w:val="22"/>
        </w:rPr>
        <w:t xml:space="preserve"> που έγινε</w:t>
      </w:r>
      <w:r w:rsidRPr="009B6326">
        <w:rPr>
          <w:rFonts w:ascii="Tahoma" w:hAnsi="Tahoma" w:cs="Tahoma"/>
          <w:sz w:val="22"/>
          <w:szCs w:val="22"/>
        </w:rPr>
        <w:t xml:space="preserve"> σε συνεργασία με την εταιρεία ΜA</w:t>
      </w:r>
      <w:r w:rsidR="003535A6">
        <w:rPr>
          <w:rFonts w:ascii="Tahoma" w:hAnsi="Tahoma" w:cs="Tahoma"/>
          <w:sz w:val="22"/>
          <w:szCs w:val="22"/>
        </w:rPr>
        <w:t>RC ΑΕ σε πανελλαδικό δείγμα 1</w:t>
      </w:r>
      <w:r w:rsidR="00B44B16">
        <w:rPr>
          <w:rFonts w:ascii="Tahoma" w:hAnsi="Tahoma" w:cs="Tahoma"/>
          <w:sz w:val="22"/>
          <w:szCs w:val="22"/>
        </w:rPr>
        <w:t>009</w:t>
      </w:r>
      <w:r w:rsidRPr="009B6326">
        <w:rPr>
          <w:rFonts w:ascii="Tahoma" w:hAnsi="Tahoma" w:cs="Tahoma"/>
          <w:sz w:val="22"/>
          <w:szCs w:val="22"/>
        </w:rPr>
        <w:t xml:space="preserve"> πολύ μικρών και μικρών επιχειρήσεων (0-49 ά</w:t>
      </w:r>
      <w:r w:rsidR="00CE38CF">
        <w:rPr>
          <w:rFonts w:ascii="Tahoma" w:hAnsi="Tahoma" w:cs="Tahoma"/>
          <w:sz w:val="22"/>
          <w:szCs w:val="22"/>
        </w:rPr>
        <w:t xml:space="preserve">τομα προσωπικό), στο διάστημα </w:t>
      </w:r>
      <w:r w:rsidR="00B44B16">
        <w:rPr>
          <w:rFonts w:ascii="Tahoma" w:hAnsi="Tahoma" w:cs="Tahoma"/>
          <w:sz w:val="22"/>
          <w:szCs w:val="22"/>
        </w:rPr>
        <w:t>17 έως 26 Φεβρουαρίου 2015</w:t>
      </w:r>
      <w:r w:rsidRPr="009B6326">
        <w:rPr>
          <w:rFonts w:ascii="Tahoma" w:hAnsi="Tahoma" w:cs="Tahoma"/>
          <w:sz w:val="22"/>
          <w:szCs w:val="22"/>
        </w:rPr>
        <w:t xml:space="preserve"> έχουν ως εξής:</w:t>
      </w:r>
    </w:p>
    <w:p w:rsidR="00B640C8" w:rsidRDefault="00B640C8" w:rsidP="00D645E8">
      <w:pPr>
        <w:jc w:val="both"/>
        <w:rPr>
          <w:rFonts w:ascii="Tahoma" w:hAnsi="Tahoma" w:cs="Tahoma"/>
          <w:b/>
          <w:sz w:val="22"/>
          <w:szCs w:val="22"/>
          <w:u w:val="single"/>
        </w:rPr>
      </w:pPr>
    </w:p>
    <w:p w:rsidR="00B640C8" w:rsidRPr="00CA444C" w:rsidRDefault="00B640C8" w:rsidP="008979A8">
      <w:pPr>
        <w:pStyle w:val="aa"/>
        <w:pBdr>
          <w:top w:val="single" w:sz="4" w:space="1" w:color="auto"/>
          <w:left w:val="single" w:sz="4" w:space="4" w:color="auto"/>
          <w:bottom w:val="single" w:sz="4" w:space="1" w:color="auto"/>
          <w:right w:val="single" w:sz="4" w:space="4" w:color="auto"/>
        </w:pBdr>
        <w:ind w:left="0"/>
        <w:jc w:val="both"/>
        <w:rPr>
          <w:rFonts w:ascii="Tahoma" w:hAnsi="Tahoma" w:cs="Tahoma"/>
          <w:b/>
          <w:sz w:val="22"/>
          <w:szCs w:val="22"/>
        </w:rPr>
      </w:pPr>
      <w:r w:rsidRPr="00CA444C">
        <w:rPr>
          <w:rFonts w:ascii="Tahoma" w:hAnsi="Tahoma" w:cs="Tahoma"/>
          <w:b/>
          <w:sz w:val="22"/>
          <w:szCs w:val="22"/>
          <w:lang w:val="en-US"/>
        </w:rPr>
        <w:t>A</w:t>
      </w:r>
      <w:r w:rsidRPr="00CA444C">
        <w:rPr>
          <w:rFonts w:ascii="Tahoma" w:hAnsi="Tahoma" w:cs="Tahoma"/>
          <w:b/>
          <w:sz w:val="22"/>
          <w:szCs w:val="22"/>
        </w:rPr>
        <w:t xml:space="preserve">. ΓΕΝΙΚΗ </w:t>
      </w:r>
      <w:r w:rsidR="00C86AC9" w:rsidRPr="00CA444C">
        <w:rPr>
          <w:rFonts w:ascii="Tahoma" w:hAnsi="Tahoma" w:cs="Tahoma"/>
          <w:b/>
          <w:sz w:val="22"/>
          <w:szCs w:val="22"/>
        </w:rPr>
        <w:t xml:space="preserve">ΟΙΚΟΝΟΜΙΚΗ </w:t>
      </w:r>
      <w:r w:rsidRPr="00CA444C">
        <w:rPr>
          <w:rFonts w:ascii="Tahoma" w:hAnsi="Tahoma" w:cs="Tahoma"/>
          <w:b/>
          <w:sz w:val="22"/>
          <w:szCs w:val="22"/>
        </w:rPr>
        <w:t>ΚΑΤΑΣΤΑΣΗ</w:t>
      </w:r>
      <w:r w:rsidR="00C86AC9" w:rsidRPr="00CA444C">
        <w:rPr>
          <w:rFonts w:ascii="Tahoma" w:hAnsi="Tahoma" w:cs="Tahoma"/>
          <w:b/>
          <w:sz w:val="22"/>
          <w:szCs w:val="22"/>
        </w:rPr>
        <w:t xml:space="preserve"> ΤΩΝ ΕΠΙΧΕΙΡΗΣΕΩΝ</w:t>
      </w:r>
    </w:p>
    <w:p w:rsidR="00B640C8" w:rsidRPr="004B04BD" w:rsidRDefault="00B640C8" w:rsidP="008979A8">
      <w:pPr>
        <w:pStyle w:val="aa"/>
        <w:pBdr>
          <w:top w:val="single" w:sz="4" w:space="1" w:color="auto"/>
          <w:left w:val="single" w:sz="4" w:space="4" w:color="auto"/>
          <w:bottom w:val="single" w:sz="4" w:space="1" w:color="auto"/>
          <w:right w:val="single" w:sz="4" w:space="4" w:color="auto"/>
        </w:pBdr>
        <w:ind w:left="0"/>
        <w:jc w:val="both"/>
        <w:rPr>
          <w:rFonts w:ascii="Tahoma" w:hAnsi="Tahoma" w:cs="Tahoma"/>
          <w:color w:val="FF0000"/>
          <w:sz w:val="22"/>
          <w:szCs w:val="22"/>
        </w:rPr>
      </w:pPr>
    </w:p>
    <w:p w:rsidR="00520B31" w:rsidRPr="00B81355" w:rsidRDefault="00520B31" w:rsidP="00520B31">
      <w:pPr>
        <w:pStyle w:val="aa"/>
        <w:numPr>
          <w:ilvl w:val="0"/>
          <w:numId w:val="8"/>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sidRPr="006F62B3">
        <w:rPr>
          <w:rFonts w:ascii="Tahoma" w:hAnsi="Tahoma" w:cs="Tahoma"/>
          <w:sz w:val="22"/>
          <w:szCs w:val="22"/>
        </w:rPr>
        <w:t xml:space="preserve">Τα </w:t>
      </w:r>
      <w:r>
        <w:rPr>
          <w:rFonts w:ascii="Tahoma" w:hAnsi="Tahoma" w:cs="Tahoma"/>
          <w:sz w:val="22"/>
          <w:szCs w:val="22"/>
        </w:rPr>
        <w:t xml:space="preserve">μετρήσιμα </w:t>
      </w:r>
      <w:r w:rsidRPr="006F62B3">
        <w:rPr>
          <w:rFonts w:ascii="Tahoma" w:hAnsi="Tahoma" w:cs="Tahoma"/>
          <w:sz w:val="22"/>
          <w:szCs w:val="22"/>
        </w:rPr>
        <w:t>οικονομικά μεγέθη των επιχειρήσεων</w:t>
      </w:r>
      <w:r>
        <w:rPr>
          <w:rFonts w:ascii="Tahoma" w:hAnsi="Tahoma" w:cs="Tahoma"/>
          <w:sz w:val="22"/>
          <w:szCs w:val="22"/>
        </w:rPr>
        <w:t xml:space="preserve"> (τζίρος, ζήτηση, παραγγελίες, ρευστότητα)</w:t>
      </w:r>
      <w:r w:rsidRPr="006F62B3">
        <w:rPr>
          <w:rFonts w:ascii="Tahoma" w:hAnsi="Tahoma" w:cs="Tahoma"/>
          <w:sz w:val="22"/>
          <w:szCs w:val="22"/>
        </w:rPr>
        <w:t xml:space="preserve"> εμφανίζονται να</w:t>
      </w:r>
      <w:r>
        <w:rPr>
          <w:rFonts w:ascii="Tahoma" w:hAnsi="Tahoma" w:cs="Tahoma"/>
          <w:sz w:val="22"/>
          <w:szCs w:val="22"/>
        </w:rPr>
        <w:t xml:space="preserve"> διατηρούν μια</w:t>
      </w:r>
      <w:r w:rsidRPr="006F62B3">
        <w:rPr>
          <w:rFonts w:ascii="Tahoma" w:hAnsi="Tahoma" w:cs="Tahoma"/>
          <w:sz w:val="22"/>
          <w:szCs w:val="22"/>
        </w:rPr>
        <w:t xml:space="preserve"> «</w:t>
      </w:r>
      <w:r>
        <w:rPr>
          <w:rFonts w:ascii="Tahoma" w:hAnsi="Tahoma" w:cs="Tahoma"/>
          <w:sz w:val="22"/>
          <w:szCs w:val="22"/>
        </w:rPr>
        <w:t>απόσταση</w:t>
      </w:r>
      <w:r w:rsidRPr="006F62B3">
        <w:rPr>
          <w:rFonts w:ascii="Tahoma" w:hAnsi="Tahoma" w:cs="Tahoma"/>
          <w:sz w:val="22"/>
          <w:szCs w:val="22"/>
        </w:rPr>
        <w:t xml:space="preserve">» από την αισιόδοξη οπτική των </w:t>
      </w:r>
      <w:r>
        <w:rPr>
          <w:rFonts w:ascii="Tahoma" w:hAnsi="Tahoma" w:cs="Tahoma"/>
          <w:sz w:val="22"/>
          <w:szCs w:val="22"/>
        </w:rPr>
        <w:t xml:space="preserve">γενικών </w:t>
      </w:r>
      <w:r w:rsidRPr="006F62B3">
        <w:rPr>
          <w:rFonts w:ascii="Tahoma" w:hAnsi="Tahoma" w:cs="Tahoma"/>
          <w:sz w:val="22"/>
          <w:szCs w:val="22"/>
        </w:rPr>
        <w:t>προσδοκιών</w:t>
      </w:r>
      <w:r>
        <w:rPr>
          <w:rFonts w:ascii="Tahoma" w:hAnsi="Tahoma" w:cs="Tahoma"/>
          <w:sz w:val="22"/>
          <w:szCs w:val="22"/>
        </w:rPr>
        <w:t xml:space="preserve"> (βλέπετε σημεία </w:t>
      </w:r>
      <w:r w:rsidR="0051792E">
        <w:rPr>
          <w:rFonts w:ascii="Tahoma" w:hAnsi="Tahoma" w:cs="Tahoma"/>
          <w:sz w:val="22"/>
          <w:szCs w:val="22"/>
        </w:rPr>
        <w:t>Α</w:t>
      </w:r>
      <w:r>
        <w:rPr>
          <w:rFonts w:ascii="Tahoma" w:hAnsi="Tahoma" w:cs="Tahoma"/>
          <w:sz w:val="22"/>
          <w:szCs w:val="22"/>
        </w:rPr>
        <w:t xml:space="preserve">4 και </w:t>
      </w:r>
      <w:r w:rsidR="0051792E">
        <w:rPr>
          <w:rFonts w:ascii="Tahoma" w:hAnsi="Tahoma" w:cs="Tahoma"/>
          <w:sz w:val="22"/>
          <w:szCs w:val="22"/>
        </w:rPr>
        <w:t>Α</w:t>
      </w:r>
      <w:r>
        <w:rPr>
          <w:rFonts w:ascii="Tahoma" w:hAnsi="Tahoma" w:cs="Tahoma"/>
          <w:sz w:val="22"/>
          <w:szCs w:val="22"/>
        </w:rPr>
        <w:t>5) και της ψυχολογίας που καταγράφεται στην παρούσα συγκυρία</w:t>
      </w:r>
      <w:r w:rsidRPr="006F62B3">
        <w:rPr>
          <w:rFonts w:ascii="Tahoma" w:hAnsi="Tahoma" w:cs="Tahoma"/>
          <w:sz w:val="22"/>
          <w:szCs w:val="22"/>
        </w:rPr>
        <w:t>.</w:t>
      </w:r>
      <w:r>
        <w:rPr>
          <w:rFonts w:ascii="Tahoma" w:hAnsi="Tahoma" w:cs="Tahoma"/>
          <w:sz w:val="22"/>
          <w:szCs w:val="22"/>
        </w:rPr>
        <w:t xml:space="preserve"> Οι περισσότερες επιχειρήσεις καταγράφουν αρνητικές επιδόσεις σε όλους τους δείκτες.</w:t>
      </w:r>
      <w:r w:rsidRPr="006F62B3">
        <w:rPr>
          <w:rFonts w:ascii="Tahoma" w:hAnsi="Tahoma" w:cs="Tahoma"/>
          <w:sz w:val="22"/>
          <w:szCs w:val="22"/>
        </w:rPr>
        <w:t xml:space="preserve">  Μόλις 1 στις 4 επιχειρήσεις παρουσίασε κέρδη τη χρήση που μας πέρασε,</w:t>
      </w:r>
      <w:r>
        <w:rPr>
          <w:rFonts w:ascii="Tahoma" w:hAnsi="Tahoma" w:cs="Tahoma"/>
          <w:sz w:val="22"/>
          <w:szCs w:val="22"/>
        </w:rPr>
        <w:t xml:space="preserve"> </w:t>
      </w:r>
      <w:r w:rsidRPr="00B81355">
        <w:rPr>
          <w:rFonts w:ascii="Tahoma" w:hAnsi="Tahoma" w:cs="Tahoma"/>
          <w:sz w:val="22"/>
          <w:szCs w:val="22"/>
        </w:rPr>
        <w:t xml:space="preserve">ενώ το 37,3% κατέγραψε ζημίες. Οι επιχειρήσεις με υψηλό κύκλο εργασιών και περισσότερο προσωπικό (&gt;5 ατόμων) σημειώνουν καλύτερες επιδόσεις σε όλα τα μεγέθη. </w:t>
      </w:r>
    </w:p>
    <w:p w:rsidR="00520B31" w:rsidRPr="00453F90" w:rsidRDefault="00520B31" w:rsidP="00520B31">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520B31" w:rsidRPr="00520B31" w:rsidRDefault="00520B31" w:rsidP="00520B31">
      <w:pPr>
        <w:pStyle w:val="aa"/>
        <w:numPr>
          <w:ilvl w:val="0"/>
          <w:numId w:val="8"/>
        </w:numPr>
        <w:pBdr>
          <w:top w:val="single" w:sz="4" w:space="1" w:color="auto"/>
          <w:left w:val="single" w:sz="4" w:space="4" w:color="auto"/>
          <w:bottom w:val="single" w:sz="4" w:space="1" w:color="auto"/>
          <w:right w:val="single" w:sz="4" w:space="4" w:color="auto"/>
        </w:pBdr>
        <w:ind w:left="426" w:hanging="426"/>
        <w:jc w:val="both"/>
        <w:rPr>
          <w:rFonts w:ascii="Tahoma" w:hAnsi="Tahoma" w:cs="Tahoma"/>
          <w:color w:val="FF0000"/>
          <w:sz w:val="22"/>
          <w:szCs w:val="22"/>
        </w:rPr>
      </w:pPr>
      <w:r w:rsidRPr="00CA444C">
        <w:rPr>
          <w:rFonts w:ascii="Tahoma" w:hAnsi="Tahoma" w:cs="Tahoma"/>
          <w:b/>
          <w:sz w:val="22"/>
          <w:szCs w:val="22"/>
        </w:rPr>
        <w:t>Στα υπόλοιπα μεγέθη , πάνω από τις μισές επιχειρήσεις διαπιστώνουν και σε αυτό το εξάμηνο μείωση του τζίρου (53,2%),</w:t>
      </w:r>
      <w:r w:rsidRPr="004B04BD">
        <w:rPr>
          <w:rFonts w:ascii="Tahoma" w:hAnsi="Tahoma" w:cs="Tahoma"/>
          <w:b/>
          <w:color w:val="FF0000"/>
          <w:sz w:val="22"/>
          <w:szCs w:val="22"/>
        </w:rPr>
        <w:t xml:space="preserve"> </w:t>
      </w:r>
      <w:r w:rsidRPr="00CA444C">
        <w:rPr>
          <w:rFonts w:ascii="Tahoma" w:hAnsi="Tahoma" w:cs="Tahoma"/>
          <w:b/>
          <w:sz w:val="22"/>
          <w:szCs w:val="22"/>
        </w:rPr>
        <w:t>της ζήτησης(55,2%), των παραγγελιών (58,9%).</w:t>
      </w:r>
    </w:p>
    <w:p w:rsidR="00520B31" w:rsidRPr="00520B31" w:rsidRDefault="00520B31" w:rsidP="00520B31">
      <w:pPr>
        <w:pStyle w:val="aa"/>
        <w:rPr>
          <w:rFonts w:ascii="Tahoma" w:hAnsi="Tahoma" w:cs="Tahoma"/>
          <w:b/>
          <w:sz w:val="22"/>
          <w:szCs w:val="22"/>
        </w:rPr>
      </w:pPr>
    </w:p>
    <w:p w:rsidR="00520B31" w:rsidRPr="00520B31" w:rsidRDefault="00520B31" w:rsidP="00520B31">
      <w:pPr>
        <w:pBdr>
          <w:top w:val="single" w:sz="4" w:space="1" w:color="auto"/>
          <w:left w:val="single" w:sz="4" w:space="4" w:color="auto"/>
          <w:bottom w:val="single" w:sz="4" w:space="1" w:color="auto"/>
          <w:right w:val="single" w:sz="4" w:space="4" w:color="auto"/>
        </w:pBdr>
        <w:ind w:left="426" w:hanging="426"/>
        <w:jc w:val="both"/>
        <w:rPr>
          <w:rFonts w:ascii="Tahoma" w:hAnsi="Tahoma" w:cs="Tahoma"/>
          <w:color w:val="FF0000"/>
          <w:sz w:val="22"/>
          <w:szCs w:val="22"/>
        </w:rPr>
      </w:pPr>
      <w:r>
        <w:rPr>
          <w:rFonts w:ascii="Tahoma" w:hAnsi="Tahoma" w:cs="Tahoma"/>
          <w:sz w:val="22"/>
          <w:szCs w:val="22"/>
        </w:rPr>
        <w:tab/>
      </w:r>
      <w:r w:rsidRPr="00520B31">
        <w:rPr>
          <w:rFonts w:ascii="Tahoma" w:hAnsi="Tahoma" w:cs="Tahoma"/>
          <w:sz w:val="22"/>
          <w:szCs w:val="22"/>
        </w:rPr>
        <w:t xml:space="preserve">Σύμφωνα με τις εκτιμήσεις του ΙΜΕ-ΓΣΕΒΕΕ εκτιμάται </w:t>
      </w:r>
      <w:r w:rsidRPr="00520B31">
        <w:rPr>
          <w:rFonts w:ascii="Tahoma" w:hAnsi="Tahoma" w:cs="Tahoma"/>
          <w:b/>
          <w:sz w:val="22"/>
          <w:szCs w:val="22"/>
        </w:rPr>
        <w:t>ότι η συνολική πτώση στο τζίρο την τελευταία χρονιά άγγιξε το 13% (Φεβρουάριος 2014- Φεβρουάριος 2015)</w:t>
      </w:r>
      <w:r w:rsidRPr="00520B31">
        <w:rPr>
          <w:rFonts w:ascii="Tahoma" w:hAnsi="Tahoma" w:cs="Tahoma"/>
          <w:b/>
          <w:color w:val="FF0000"/>
          <w:sz w:val="22"/>
          <w:szCs w:val="22"/>
        </w:rPr>
        <w:t xml:space="preserve">. </w:t>
      </w:r>
      <w:r w:rsidRPr="00520B31">
        <w:rPr>
          <w:rFonts w:ascii="Tahoma" w:hAnsi="Tahoma" w:cs="Tahoma"/>
          <w:b/>
          <w:sz w:val="22"/>
          <w:szCs w:val="22"/>
        </w:rPr>
        <w:t>Η συνολική πτώση του τζίρου από την έναρξη της κρίσης αγγίζει το 77 %.</w:t>
      </w:r>
      <w:r w:rsidRPr="00520B31">
        <w:rPr>
          <w:rFonts w:ascii="Tahoma" w:hAnsi="Tahoma" w:cs="Tahoma"/>
          <w:b/>
          <w:color w:val="FF0000"/>
          <w:sz w:val="22"/>
          <w:szCs w:val="22"/>
        </w:rPr>
        <w:t xml:space="preserve"> </w:t>
      </w:r>
      <w:r w:rsidRPr="00520B31">
        <w:rPr>
          <w:rFonts w:ascii="Tahoma" w:hAnsi="Tahoma" w:cs="Tahoma"/>
          <w:sz w:val="22"/>
          <w:szCs w:val="22"/>
        </w:rPr>
        <w:t>Ο κλάδος του εμπορίου εμφανίζει τις περισσότερες απώλειες.</w:t>
      </w:r>
    </w:p>
    <w:p w:rsidR="00520B31" w:rsidRPr="006F62B3" w:rsidRDefault="00520B31" w:rsidP="00520B31">
      <w:pPr>
        <w:pBdr>
          <w:top w:val="single" w:sz="4" w:space="1" w:color="auto"/>
          <w:left w:val="single" w:sz="4" w:space="4" w:color="auto"/>
          <w:bottom w:val="single" w:sz="4" w:space="1" w:color="auto"/>
          <w:right w:val="single" w:sz="4" w:space="4" w:color="auto"/>
        </w:pBdr>
        <w:jc w:val="both"/>
        <w:rPr>
          <w:rFonts w:ascii="Tahoma" w:hAnsi="Tahoma" w:cs="Tahoma"/>
          <w:color w:val="FF0000"/>
          <w:sz w:val="22"/>
          <w:szCs w:val="22"/>
        </w:rPr>
      </w:pPr>
    </w:p>
    <w:p w:rsidR="00520B31" w:rsidRDefault="00520B31" w:rsidP="00520B31">
      <w:pPr>
        <w:pStyle w:val="aa"/>
        <w:numPr>
          <w:ilvl w:val="0"/>
          <w:numId w:val="8"/>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Pr>
          <w:rFonts w:ascii="Tahoma" w:hAnsi="Tahoma" w:cs="Tahoma"/>
          <w:sz w:val="22"/>
          <w:szCs w:val="22"/>
        </w:rPr>
        <w:t>Περισσότερο α</w:t>
      </w:r>
      <w:r w:rsidRPr="00CA444C">
        <w:rPr>
          <w:rFonts w:ascii="Tahoma" w:hAnsi="Tahoma" w:cs="Tahoma"/>
          <w:sz w:val="22"/>
          <w:szCs w:val="22"/>
        </w:rPr>
        <w:t>νησυχητικά είναι τα ευρήματα σχετικά με τους δείκτες ρευστότητας και επένδυσης</w:t>
      </w:r>
      <w:r w:rsidRPr="00CA444C">
        <w:rPr>
          <w:rFonts w:ascii="Tahoma" w:hAnsi="Tahoma" w:cs="Tahoma"/>
          <w:color w:val="FF0000"/>
          <w:sz w:val="22"/>
          <w:szCs w:val="22"/>
        </w:rPr>
        <w:t xml:space="preserve">, </w:t>
      </w:r>
      <w:r w:rsidRPr="00CA444C">
        <w:rPr>
          <w:rFonts w:ascii="Tahoma" w:hAnsi="Tahoma" w:cs="Tahoma"/>
          <w:sz w:val="22"/>
          <w:szCs w:val="22"/>
        </w:rPr>
        <w:t xml:space="preserve">αφού </w:t>
      </w:r>
      <w:r>
        <w:rPr>
          <w:rFonts w:ascii="Tahoma" w:hAnsi="Tahoma" w:cs="Tahoma"/>
          <w:sz w:val="22"/>
          <w:szCs w:val="22"/>
        </w:rPr>
        <w:t>το 62,4%</w:t>
      </w:r>
      <w:r w:rsidRPr="00CA444C">
        <w:rPr>
          <w:rFonts w:ascii="Tahoma" w:hAnsi="Tahoma" w:cs="Tahoma"/>
          <w:sz w:val="22"/>
          <w:szCs w:val="22"/>
        </w:rPr>
        <w:t xml:space="preserve"> των επιχειρήσεων δήλωσε επιδείνωση στο δείκτη  ρευστότητας</w:t>
      </w:r>
      <w:r>
        <w:rPr>
          <w:rFonts w:ascii="Tahoma" w:hAnsi="Tahoma" w:cs="Tahoma"/>
          <w:color w:val="FF0000"/>
          <w:sz w:val="22"/>
          <w:szCs w:val="22"/>
        </w:rPr>
        <w:t xml:space="preserve">, </w:t>
      </w:r>
      <w:r w:rsidRPr="00CA444C">
        <w:rPr>
          <w:rFonts w:ascii="Tahoma" w:hAnsi="Tahoma" w:cs="Tahoma"/>
          <w:sz w:val="22"/>
          <w:szCs w:val="22"/>
        </w:rPr>
        <w:t>ενώ μόλις το 12,1% προχώρησε σε επενδύσεις.</w:t>
      </w:r>
      <w:r>
        <w:rPr>
          <w:rFonts w:ascii="Tahoma" w:hAnsi="Tahoma" w:cs="Tahoma"/>
          <w:sz w:val="22"/>
          <w:szCs w:val="22"/>
        </w:rPr>
        <w:t xml:space="preserve"> Σε αυτές τις κατηγορίες το συγκριτικό πλεονέκτημα φαίνεται να το διατηρούν οι επιχειρήσεις μικρής ηλικίας (έως 5 ετών), με υψηλό τζίρο και με προσωπικό &gt; 5 ατόμων. </w:t>
      </w:r>
    </w:p>
    <w:p w:rsidR="00520B31" w:rsidRPr="00520B31" w:rsidRDefault="00520B31" w:rsidP="00520B31">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453F90" w:rsidRDefault="00472BF0" w:rsidP="00453F90">
      <w:pPr>
        <w:pStyle w:val="aa"/>
        <w:numPr>
          <w:ilvl w:val="0"/>
          <w:numId w:val="8"/>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sidRPr="00472BF0">
        <w:rPr>
          <w:rFonts w:ascii="Tahoma" w:hAnsi="Tahoma" w:cs="Tahoma"/>
          <w:sz w:val="22"/>
          <w:szCs w:val="22"/>
        </w:rPr>
        <w:t>Το γεγονός ότι η ελληνική οικονομία τείνει</w:t>
      </w:r>
      <w:r>
        <w:rPr>
          <w:rFonts w:ascii="Tahoma" w:hAnsi="Tahoma" w:cs="Tahoma"/>
          <w:sz w:val="22"/>
          <w:szCs w:val="22"/>
        </w:rPr>
        <w:t xml:space="preserve"> οριακά</w:t>
      </w:r>
      <w:r w:rsidRPr="00472BF0">
        <w:rPr>
          <w:rFonts w:ascii="Tahoma" w:hAnsi="Tahoma" w:cs="Tahoma"/>
          <w:sz w:val="22"/>
          <w:szCs w:val="22"/>
        </w:rPr>
        <w:t xml:space="preserve"> σε ένα </w:t>
      </w:r>
      <w:r>
        <w:rPr>
          <w:rFonts w:ascii="Tahoma" w:hAnsi="Tahoma" w:cs="Tahoma"/>
          <w:sz w:val="22"/>
          <w:szCs w:val="22"/>
        </w:rPr>
        <w:t xml:space="preserve">θετικότερο μονοπάτι οικονομικής πολιτικής και μακροοικονομικών επιδόσεων, αποτυπώνεται στις τάσεις του οικονομικού κλίματος. </w:t>
      </w:r>
      <w:r w:rsidR="00E46A84">
        <w:rPr>
          <w:rFonts w:ascii="Tahoma" w:hAnsi="Tahoma" w:cs="Tahoma"/>
          <w:sz w:val="22"/>
          <w:szCs w:val="22"/>
          <w:lang w:val="en-US"/>
        </w:rPr>
        <w:t>H</w:t>
      </w:r>
      <w:r>
        <w:rPr>
          <w:rFonts w:ascii="Tahoma" w:hAnsi="Tahoma" w:cs="Tahoma"/>
          <w:sz w:val="22"/>
          <w:szCs w:val="22"/>
        </w:rPr>
        <w:t xml:space="preserve"> διαφορά αρνητικών-θετικών αποτιμήσεων μειώνεται στο </w:t>
      </w:r>
      <w:r w:rsidR="006F62B3">
        <w:rPr>
          <w:rFonts w:ascii="Tahoma" w:hAnsi="Tahoma" w:cs="Tahoma"/>
          <w:sz w:val="22"/>
          <w:szCs w:val="22"/>
        </w:rPr>
        <w:t>-</w:t>
      </w:r>
      <w:r>
        <w:rPr>
          <w:rFonts w:ascii="Tahoma" w:hAnsi="Tahoma" w:cs="Tahoma"/>
          <w:sz w:val="22"/>
          <w:szCs w:val="22"/>
        </w:rPr>
        <w:t>50</w:t>
      </w:r>
      <w:proofErr w:type="gramStart"/>
      <w:r w:rsidR="006F62B3">
        <w:rPr>
          <w:rFonts w:ascii="Tahoma" w:hAnsi="Tahoma" w:cs="Tahoma"/>
          <w:sz w:val="22"/>
          <w:szCs w:val="22"/>
        </w:rPr>
        <w:t>,2</w:t>
      </w:r>
      <w:proofErr w:type="gramEnd"/>
      <w:r w:rsidR="006F62B3">
        <w:rPr>
          <w:rFonts w:ascii="Tahoma" w:hAnsi="Tahoma" w:cs="Tahoma"/>
          <w:sz w:val="22"/>
          <w:szCs w:val="22"/>
        </w:rPr>
        <w:t xml:space="preserve"> (από -54,0 στην προηγούμενη έρευνα και -85,5 τον Ιούλιο του 2012)</w:t>
      </w:r>
      <w:r>
        <w:rPr>
          <w:rFonts w:ascii="Tahoma" w:hAnsi="Tahoma" w:cs="Tahoma"/>
          <w:sz w:val="22"/>
          <w:szCs w:val="22"/>
        </w:rPr>
        <w:t>, εν</w:t>
      </w:r>
      <w:r w:rsidR="006F62B3">
        <w:rPr>
          <w:rFonts w:ascii="Tahoma" w:hAnsi="Tahoma" w:cs="Tahoma"/>
          <w:sz w:val="22"/>
          <w:szCs w:val="22"/>
        </w:rPr>
        <w:t>ώ ενδείξεις</w:t>
      </w:r>
      <w:r>
        <w:rPr>
          <w:rFonts w:ascii="Tahoma" w:hAnsi="Tahoma" w:cs="Tahoma"/>
          <w:sz w:val="22"/>
          <w:szCs w:val="22"/>
        </w:rPr>
        <w:t xml:space="preserve"> σταθεροποίησης δείχνουν 1 στις 3 επιχειρήσεις.</w:t>
      </w:r>
    </w:p>
    <w:p w:rsidR="005912D2" w:rsidRPr="005912D2" w:rsidRDefault="005912D2" w:rsidP="005912D2">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6F62B3" w:rsidRPr="00520B31" w:rsidRDefault="00453F90" w:rsidP="0062573C">
      <w:pPr>
        <w:pStyle w:val="aa"/>
        <w:numPr>
          <w:ilvl w:val="0"/>
          <w:numId w:val="8"/>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Pr>
          <w:rFonts w:ascii="Tahoma" w:hAnsi="Tahoma" w:cs="Tahoma"/>
          <w:sz w:val="22"/>
          <w:szCs w:val="22"/>
        </w:rPr>
        <w:t>Περισσότερο</w:t>
      </w:r>
      <w:r w:rsidRPr="00453F90">
        <w:rPr>
          <w:rFonts w:ascii="Tahoma" w:hAnsi="Tahoma" w:cs="Tahoma"/>
          <w:sz w:val="22"/>
          <w:szCs w:val="22"/>
        </w:rPr>
        <w:t xml:space="preserve"> ενθαρρυντική</w:t>
      </w:r>
      <w:r w:rsidR="00E46A84" w:rsidRPr="00E46A84">
        <w:rPr>
          <w:rFonts w:ascii="Tahoma" w:hAnsi="Tahoma" w:cs="Tahoma"/>
          <w:sz w:val="22"/>
          <w:szCs w:val="22"/>
        </w:rPr>
        <w:t xml:space="preserve"> (</w:t>
      </w:r>
      <w:r w:rsidR="00E46A84">
        <w:rPr>
          <w:rFonts w:ascii="Tahoma" w:hAnsi="Tahoma" w:cs="Tahoma"/>
          <w:sz w:val="22"/>
          <w:szCs w:val="22"/>
        </w:rPr>
        <w:t>τουλάχιστο την περίοδο που διεξήχθη</w:t>
      </w:r>
      <w:r w:rsidR="00BE5B5D">
        <w:rPr>
          <w:rFonts w:ascii="Tahoma" w:hAnsi="Tahoma" w:cs="Tahoma"/>
          <w:sz w:val="22"/>
          <w:szCs w:val="22"/>
        </w:rPr>
        <w:t xml:space="preserve"> η έρευνα, Φεβρουάριος 2015)</w:t>
      </w:r>
      <w:r w:rsidR="00E46A84">
        <w:rPr>
          <w:rFonts w:ascii="Tahoma" w:hAnsi="Tahoma" w:cs="Tahoma"/>
          <w:sz w:val="22"/>
          <w:szCs w:val="22"/>
        </w:rPr>
        <w:t xml:space="preserve"> </w:t>
      </w:r>
      <w:r w:rsidRPr="00453F90">
        <w:rPr>
          <w:rFonts w:ascii="Tahoma" w:hAnsi="Tahoma" w:cs="Tahoma"/>
          <w:sz w:val="22"/>
          <w:szCs w:val="22"/>
        </w:rPr>
        <w:t xml:space="preserve"> </w:t>
      </w:r>
      <w:r>
        <w:rPr>
          <w:rFonts w:ascii="Tahoma" w:hAnsi="Tahoma" w:cs="Tahoma"/>
          <w:sz w:val="22"/>
          <w:szCs w:val="22"/>
        </w:rPr>
        <w:t>είναι η εικόνα που αποτυπώνεται</w:t>
      </w:r>
      <w:r w:rsidRPr="00453F90">
        <w:rPr>
          <w:rFonts w:ascii="Tahoma" w:hAnsi="Tahoma" w:cs="Tahoma"/>
          <w:sz w:val="22"/>
          <w:szCs w:val="22"/>
        </w:rPr>
        <w:t xml:space="preserve"> </w:t>
      </w:r>
      <w:r>
        <w:rPr>
          <w:rFonts w:ascii="Tahoma" w:hAnsi="Tahoma" w:cs="Tahoma"/>
          <w:sz w:val="22"/>
          <w:szCs w:val="22"/>
        </w:rPr>
        <w:t>στις προσδοκίες</w:t>
      </w:r>
      <w:r w:rsidRPr="00453F90">
        <w:rPr>
          <w:rFonts w:ascii="Tahoma" w:hAnsi="Tahoma" w:cs="Tahoma"/>
          <w:sz w:val="22"/>
          <w:szCs w:val="22"/>
        </w:rPr>
        <w:t xml:space="preserve"> των επιχειρήσεων για το επόμενο εξάμηνο, όπου σε όλους τους δείκτες παρατηρείται σημαντική βελτίωση του ισοζυγίου θετικών – αρνητικών </w:t>
      </w:r>
      <w:r w:rsidR="00B81355">
        <w:rPr>
          <w:rFonts w:ascii="Tahoma" w:hAnsi="Tahoma" w:cs="Tahoma"/>
          <w:sz w:val="22"/>
          <w:szCs w:val="22"/>
        </w:rPr>
        <w:t>προσδοκιών</w:t>
      </w:r>
      <w:r w:rsidRPr="00453F90">
        <w:rPr>
          <w:rFonts w:ascii="Tahoma" w:hAnsi="Tahoma" w:cs="Tahoma"/>
          <w:sz w:val="22"/>
          <w:szCs w:val="22"/>
        </w:rPr>
        <w:t>.</w:t>
      </w:r>
      <w:r>
        <w:rPr>
          <w:rFonts w:ascii="Tahoma" w:hAnsi="Tahoma" w:cs="Tahoma"/>
          <w:sz w:val="22"/>
          <w:szCs w:val="22"/>
        </w:rPr>
        <w:t xml:space="preserve"> Συγκεκριμένα μόλις 3 στις 10 επιχειρήσεις (31,4% από 56,1% στην έρευνα Ιουλίου 2014) προβάλλουν αρνητικές προσδοκ</w:t>
      </w:r>
      <w:r w:rsidR="005912D2">
        <w:rPr>
          <w:rFonts w:ascii="Tahoma" w:hAnsi="Tahoma" w:cs="Tahoma"/>
          <w:sz w:val="22"/>
          <w:szCs w:val="22"/>
        </w:rPr>
        <w:t>ίες για το επόμενο εξάμηνο, ενώ για 1 στις 4 οι προοπτικές εμφανίζονται να είναι βελτιούμενες.</w:t>
      </w:r>
      <w:r w:rsidR="00CA444C">
        <w:rPr>
          <w:rFonts w:ascii="Tahoma" w:hAnsi="Tahoma" w:cs="Tahoma"/>
          <w:sz w:val="22"/>
          <w:szCs w:val="22"/>
        </w:rPr>
        <w:t xml:space="preserve"> </w:t>
      </w:r>
      <w:r w:rsidR="006F62B3">
        <w:rPr>
          <w:rFonts w:ascii="Tahoma" w:hAnsi="Tahoma" w:cs="Tahoma"/>
          <w:sz w:val="22"/>
          <w:szCs w:val="22"/>
        </w:rPr>
        <w:t>Για τους δείκτες κύκλου εργασιών και</w:t>
      </w:r>
      <w:r w:rsidR="00520B31">
        <w:rPr>
          <w:rFonts w:ascii="Tahoma" w:hAnsi="Tahoma" w:cs="Tahoma"/>
          <w:sz w:val="22"/>
          <w:szCs w:val="22"/>
        </w:rPr>
        <w:t xml:space="preserve"> </w:t>
      </w:r>
      <w:r w:rsidR="006F62B3" w:rsidRPr="00520B31">
        <w:rPr>
          <w:rFonts w:ascii="Tahoma" w:hAnsi="Tahoma" w:cs="Tahoma"/>
          <w:sz w:val="22"/>
          <w:szCs w:val="22"/>
        </w:rPr>
        <w:t>ζήτησης ο λόγος αρνητικών-θετικών προσδοκιών είναι 3:2, ενώ για τους δείκτες ρευστότητας, παραγγελιών και επένδυσης ο λόγος προσεγγίζει το 2:1.</w:t>
      </w:r>
    </w:p>
    <w:p w:rsidR="00E740B6" w:rsidRPr="004B04BD" w:rsidRDefault="00E740B6" w:rsidP="003F7FBB">
      <w:pPr>
        <w:pStyle w:val="aa"/>
        <w:pBdr>
          <w:top w:val="single" w:sz="4" w:space="1" w:color="auto"/>
          <w:left w:val="single" w:sz="4" w:space="4" w:color="auto"/>
          <w:bottom w:val="single" w:sz="4" w:space="1" w:color="auto"/>
          <w:right w:val="single" w:sz="4" w:space="4" w:color="auto"/>
        </w:pBdr>
        <w:ind w:left="0"/>
        <w:jc w:val="both"/>
        <w:rPr>
          <w:rFonts w:ascii="Tahoma" w:hAnsi="Tahoma" w:cs="Tahoma"/>
          <w:b/>
          <w:color w:val="FF0000"/>
          <w:sz w:val="22"/>
          <w:szCs w:val="22"/>
        </w:rPr>
      </w:pPr>
    </w:p>
    <w:p w:rsidR="00C9611A" w:rsidRPr="00202EA2" w:rsidRDefault="000D2D16" w:rsidP="002861F2">
      <w:pPr>
        <w:pStyle w:val="aa"/>
        <w:pBdr>
          <w:top w:val="single" w:sz="4" w:space="1" w:color="auto"/>
          <w:left w:val="single" w:sz="4" w:space="4" w:color="auto"/>
          <w:bottom w:val="single" w:sz="4" w:space="1" w:color="auto"/>
          <w:right w:val="single" w:sz="4" w:space="4" w:color="auto"/>
        </w:pBdr>
        <w:ind w:left="0"/>
        <w:jc w:val="both"/>
        <w:rPr>
          <w:rFonts w:ascii="Tahoma" w:hAnsi="Tahoma" w:cs="Tahoma"/>
          <w:b/>
          <w:sz w:val="22"/>
          <w:szCs w:val="22"/>
        </w:rPr>
      </w:pPr>
      <w:r w:rsidRPr="00202EA2">
        <w:rPr>
          <w:rFonts w:ascii="Tahoma" w:hAnsi="Tahoma" w:cs="Tahoma"/>
          <w:b/>
          <w:sz w:val="22"/>
          <w:szCs w:val="22"/>
        </w:rPr>
        <w:t xml:space="preserve">Β. </w:t>
      </w:r>
      <w:r w:rsidR="003F7FBB" w:rsidRPr="00202EA2">
        <w:rPr>
          <w:rFonts w:ascii="Tahoma" w:hAnsi="Tahoma" w:cs="Tahoma"/>
          <w:b/>
          <w:sz w:val="22"/>
          <w:szCs w:val="22"/>
        </w:rPr>
        <w:t>ΛΟΥΚΕΤΑ</w:t>
      </w:r>
      <w:r w:rsidRPr="00202EA2">
        <w:rPr>
          <w:rFonts w:ascii="Tahoma" w:hAnsi="Tahoma" w:cs="Tahoma"/>
          <w:b/>
          <w:sz w:val="22"/>
          <w:szCs w:val="22"/>
        </w:rPr>
        <w:t>- ΕΠΙΧΕΙΡΗΜΑΤΙΚΗ ΔΡΑΣΤΗΡΙΟΤΗΤΑ</w:t>
      </w:r>
    </w:p>
    <w:p w:rsidR="00092934" w:rsidRPr="00202EA2" w:rsidRDefault="00092934" w:rsidP="002861F2">
      <w:pPr>
        <w:pStyle w:val="aa"/>
        <w:pBdr>
          <w:top w:val="single" w:sz="4" w:space="1" w:color="auto"/>
          <w:left w:val="single" w:sz="4" w:space="4" w:color="auto"/>
          <w:bottom w:val="single" w:sz="4" w:space="1" w:color="auto"/>
          <w:right w:val="single" w:sz="4" w:space="4" w:color="auto"/>
        </w:pBdr>
        <w:ind w:left="0"/>
        <w:jc w:val="both"/>
        <w:rPr>
          <w:rFonts w:ascii="Tahoma" w:hAnsi="Tahoma" w:cs="Tahoma"/>
          <w:b/>
          <w:sz w:val="22"/>
          <w:szCs w:val="22"/>
        </w:rPr>
      </w:pPr>
    </w:p>
    <w:p w:rsidR="00202EA2" w:rsidRPr="00202EA2" w:rsidRDefault="005835FC" w:rsidP="00494916">
      <w:pPr>
        <w:pStyle w:val="aa"/>
        <w:numPr>
          <w:ilvl w:val="0"/>
          <w:numId w:val="16"/>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sidRPr="00202EA2">
        <w:rPr>
          <w:rFonts w:ascii="Tahoma" w:hAnsi="Tahoma" w:cs="Tahoma"/>
          <w:sz w:val="22"/>
          <w:szCs w:val="22"/>
        </w:rPr>
        <w:t xml:space="preserve">Σε σύγκριση με το </w:t>
      </w:r>
      <w:r w:rsidR="00494916" w:rsidRPr="00202EA2">
        <w:rPr>
          <w:rFonts w:ascii="Tahoma" w:hAnsi="Tahoma" w:cs="Tahoma"/>
          <w:sz w:val="22"/>
          <w:szCs w:val="22"/>
        </w:rPr>
        <w:t>Ιούλιο του</w:t>
      </w:r>
      <w:r w:rsidRPr="00202EA2">
        <w:rPr>
          <w:rFonts w:ascii="Tahoma" w:hAnsi="Tahoma" w:cs="Tahoma"/>
          <w:sz w:val="22"/>
          <w:szCs w:val="22"/>
        </w:rPr>
        <w:t xml:space="preserve"> 2014,</w:t>
      </w:r>
      <w:r w:rsidR="000C540E" w:rsidRPr="00202EA2">
        <w:rPr>
          <w:rFonts w:ascii="Tahoma" w:hAnsi="Tahoma" w:cs="Tahoma"/>
          <w:sz w:val="22"/>
          <w:szCs w:val="22"/>
        </w:rPr>
        <w:t xml:space="preserve"> οι </w:t>
      </w:r>
      <w:r w:rsidR="0082196A">
        <w:rPr>
          <w:rFonts w:ascii="Tahoma" w:hAnsi="Tahoma" w:cs="Tahoma"/>
          <w:sz w:val="22"/>
          <w:szCs w:val="22"/>
        </w:rPr>
        <w:t xml:space="preserve">αρνητικές </w:t>
      </w:r>
      <w:r w:rsidR="000C540E" w:rsidRPr="00202EA2">
        <w:rPr>
          <w:rFonts w:ascii="Tahoma" w:hAnsi="Tahoma" w:cs="Tahoma"/>
          <w:sz w:val="22"/>
          <w:szCs w:val="22"/>
        </w:rPr>
        <w:t>προβλέψεις</w:t>
      </w:r>
      <w:r w:rsidRPr="00202EA2">
        <w:rPr>
          <w:rFonts w:ascii="Tahoma" w:hAnsi="Tahoma" w:cs="Tahoma"/>
          <w:sz w:val="22"/>
          <w:szCs w:val="22"/>
        </w:rPr>
        <w:t xml:space="preserve"> εξαμήνου</w:t>
      </w:r>
      <w:r w:rsidR="000C540E" w:rsidRPr="00202EA2">
        <w:rPr>
          <w:rFonts w:ascii="Tahoma" w:hAnsi="Tahoma" w:cs="Tahoma"/>
          <w:sz w:val="22"/>
          <w:szCs w:val="22"/>
        </w:rPr>
        <w:t xml:space="preserve"> των επιχειρήσεων</w:t>
      </w:r>
      <w:r w:rsidRPr="00202EA2">
        <w:rPr>
          <w:rFonts w:ascii="Tahoma" w:hAnsi="Tahoma" w:cs="Tahoma"/>
          <w:sz w:val="22"/>
          <w:szCs w:val="22"/>
        </w:rPr>
        <w:t xml:space="preserve"> </w:t>
      </w:r>
      <w:r w:rsidR="0082196A">
        <w:rPr>
          <w:rFonts w:ascii="Tahoma" w:hAnsi="Tahoma" w:cs="Tahoma"/>
          <w:sz w:val="22"/>
          <w:szCs w:val="22"/>
        </w:rPr>
        <w:t>υποχωρούν</w:t>
      </w:r>
      <w:r w:rsidRPr="00202EA2">
        <w:rPr>
          <w:rFonts w:ascii="Tahoma" w:hAnsi="Tahoma" w:cs="Tahoma"/>
          <w:sz w:val="22"/>
          <w:szCs w:val="22"/>
        </w:rPr>
        <w:t xml:space="preserve"> σημαντικά</w:t>
      </w:r>
      <w:r w:rsidR="00092934" w:rsidRPr="00202EA2">
        <w:rPr>
          <w:rFonts w:ascii="Tahoma" w:hAnsi="Tahoma" w:cs="Tahoma"/>
          <w:sz w:val="22"/>
          <w:szCs w:val="22"/>
        </w:rPr>
        <w:t>.</w:t>
      </w:r>
      <w:r w:rsidR="000C540E" w:rsidRPr="00202EA2">
        <w:rPr>
          <w:rFonts w:ascii="Tahoma" w:hAnsi="Tahoma" w:cs="Tahoma"/>
          <w:sz w:val="22"/>
          <w:szCs w:val="22"/>
        </w:rPr>
        <w:t xml:space="preserve"> </w:t>
      </w:r>
      <w:r w:rsidR="00494916" w:rsidRPr="00202EA2">
        <w:rPr>
          <w:rFonts w:ascii="Tahoma" w:hAnsi="Tahoma" w:cs="Tahoma"/>
          <w:sz w:val="22"/>
          <w:szCs w:val="22"/>
        </w:rPr>
        <w:t xml:space="preserve">Ωστόσο, 1 στις 3 επιχειρήσεις δηλώνει ότι διατρέχει σημαντικό κίνδυνο κλεισίματος. </w:t>
      </w:r>
      <w:r w:rsidRPr="00202EA2">
        <w:rPr>
          <w:rFonts w:ascii="Tahoma" w:hAnsi="Tahoma" w:cs="Tahoma"/>
          <w:sz w:val="22"/>
          <w:szCs w:val="22"/>
        </w:rPr>
        <w:t>Μ</w:t>
      </w:r>
      <w:r w:rsidR="00884024" w:rsidRPr="00202EA2">
        <w:rPr>
          <w:rFonts w:ascii="Tahoma" w:hAnsi="Tahoma" w:cs="Tahoma"/>
          <w:sz w:val="22"/>
          <w:szCs w:val="22"/>
        </w:rPr>
        <w:t xml:space="preserve">άλιστα, </w:t>
      </w:r>
      <w:r w:rsidR="00B71326" w:rsidRPr="00202EA2">
        <w:rPr>
          <w:rFonts w:ascii="Tahoma" w:hAnsi="Tahoma" w:cs="Tahoma"/>
          <w:sz w:val="22"/>
          <w:szCs w:val="22"/>
        </w:rPr>
        <w:t xml:space="preserve">το </w:t>
      </w:r>
      <w:r w:rsidR="003535A6">
        <w:rPr>
          <w:rFonts w:ascii="Tahoma" w:hAnsi="Tahoma" w:cs="Tahoma"/>
          <w:sz w:val="22"/>
          <w:szCs w:val="22"/>
        </w:rPr>
        <w:t>3% του συνόλου των επιχειρήσεων</w:t>
      </w:r>
      <w:r w:rsidR="00884024" w:rsidRPr="00202EA2">
        <w:rPr>
          <w:rFonts w:ascii="Tahoma" w:hAnsi="Tahoma" w:cs="Tahoma"/>
          <w:sz w:val="22"/>
          <w:szCs w:val="22"/>
        </w:rPr>
        <w:t xml:space="preserve"> τοποθετούν το ενδεχόμενο</w:t>
      </w:r>
      <w:r w:rsidR="00C9611A" w:rsidRPr="00202EA2">
        <w:rPr>
          <w:rFonts w:ascii="Tahoma" w:hAnsi="Tahoma" w:cs="Tahoma"/>
          <w:sz w:val="22"/>
          <w:szCs w:val="22"/>
        </w:rPr>
        <w:t xml:space="preserve"> διακοπή</w:t>
      </w:r>
      <w:r w:rsidR="00884024" w:rsidRPr="00202EA2">
        <w:rPr>
          <w:rFonts w:ascii="Tahoma" w:hAnsi="Tahoma" w:cs="Tahoma"/>
          <w:sz w:val="22"/>
          <w:szCs w:val="22"/>
        </w:rPr>
        <w:t>ς</w:t>
      </w:r>
      <w:r w:rsidR="00C9611A" w:rsidRPr="00202EA2">
        <w:rPr>
          <w:rFonts w:ascii="Tahoma" w:hAnsi="Tahoma" w:cs="Tahoma"/>
          <w:sz w:val="22"/>
          <w:szCs w:val="22"/>
        </w:rPr>
        <w:t xml:space="preserve"> λειτουργίας</w:t>
      </w:r>
      <w:r w:rsidR="00884024" w:rsidRPr="00202EA2">
        <w:rPr>
          <w:rFonts w:ascii="Tahoma" w:hAnsi="Tahoma" w:cs="Tahoma"/>
          <w:sz w:val="22"/>
          <w:szCs w:val="22"/>
        </w:rPr>
        <w:t xml:space="preserve"> </w:t>
      </w:r>
      <w:r w:rsidR="00202EA2" w:rsidRPr="00202EA2">
        <w:rPr>
          <w:rFonts w:ascii="Tahoma" w:hAnsi="Tahoma" w:cs="Tahoma"/>
          <w:sz w:val="22"/>
          <w:szCs w:val="22"/>
        </w:rPr>
        <w:t>μέσα στο επόμενο τρίμηνο</w:t>
      </w:r>
      <w:r w:rsidR="00C9611A" w:rsidRPr="00202EA2">
        <w:rPr>
          <w:rFonts w:ascii="Tahoma" w:hAnsi="Tahoma" w:cs="Tahoma"/>
          <w:sz w:val="22"/>
          <w:szCs w:val="22"/>
        </w:rPr>
        <w:t xml:space="preserve">. </w:t>
      </w:r>
      <w:r w:rsidR="00884024" w:rsidRPr="00202EA2">
        <w:rPr>
          <w:rFonts w:ascii="Tahoma" w:hAnsi="Tahoma" w:cs="Tahoma"/>
          <w:sz w:val="22"/>
          <w:szCs w:val="22"/>
        </w:rPr>
        <w:t>Αυτό σημαίνει ότι τα λουκέτα για το επ</w:t>
      </w:r>
      <w:r w:rsidR="003535A6">
        <w:rPr>
          <w:rFonts w:ascii="Tahoma" w:hAnsi="Tahoma" w:cs="Tahoma"/>
          <w:sz w:val="22"/>
          <w:szCs w:val="22"/>
        </w:rPr>
        <w:t xml:space="preserve">όμενο εξάμηνο θα προσεγγίσουν τις </w:t>
      </w:r>
      <w:r w:rsidR="00F1288E" w:rsidRPr="00490F37">
        <w:rPr>
          <w:rFonts w:ascii="Tahoma" w:hAnsi="Tahoma" w:cs="Tahoma"/>
          <w:b/>
          <w:sz w:val="22"/>
          <w:szCs w:val="22"/>
        </w:rPr>
        <w:t>8,5</w:t>
      </w:r>
      <w:r w:rsidR="003535A6" w:rsidRPr="00490F37">
        <w:rPr>
          <w:rFonts w:ascii="Tahoma" w:hAnsi="Tahoma" w:cs="Tahoma"/>
          <w:b/>
          <w:sz w:val="22"/>
          <w:szCs w:val="22"/>
        </w:rPr>
        <w:t>00</w:t>
      </w:r>
      <w:r w:rsidR="00884024" w:rsidRPr="00490F37">
        <w:rPr>
          <w:rFonts w:ascii="Tahoma" w:hAnsi="Tahoma" w:cs="Tahoma"/>
          <w:b/>
          <w:sz w:val="22"/>
          <w:szCs w:val="22"/>
        </w:rPr>
        <w:t>.</w:t>
      </w:r>
      <w:r w:rsidR="00202EA2" w:rsidRPr="00202EA2">
        <w:rPr>
          <w:rFonts w:ascii="Tahoma" w:hAnsi="Tahoma" w:cs="Tahoma"/>
          <w:sz w:val="22"/>
          <w:szCs w:val="22"/>
        </w:rPr>
        <w:t xml:space="preserve">  </w:t>
      </w:r>
    </w:p>
    <w:p w:rsidR="00494916" w:rsidRPr="00202EA2" w:rsidRDefault="00494916" w:rsidP="00494916">
      <w:pPr>
        <w:pStyle w:val="aa"/>
        <w:numPr>
          <w:ilvl w:val="0"/>
          <w:numId w:val="16"/>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sidRPr="00202EA2">
        <w:rPr>
          <w:rFonts w:ascii="Tahoma" w:hAnsi="Tahoma" w:cs="Tahoma"/>
          <w:sz w:val="22"/>
          <w:szCs w:val="22"/>
        </w:rPr>
        <w:t>Ο κίνδυνος</w:t>
      </w:r>
      <w:r w:rsidR="00202EA2" w:rsidRPr="00202EA2">
        <w:rPr>
          <w:rFonts w:ascii="Tahoma" w:hAnsi="Tahoma" w:cs="Tahoma"/>
          <w:sz w:val="22"/>
          <w:szCs w:val="22"/>
        </w:rPr>
        <w:t xml:space="preserve"> λουκέτου</w:t>
      </w:r>
      <w:r w:rsidRPr="00202EA2">
        <w:rPr>
          <w:rFonts w:ascii="Tahoma" w:hAnsi="Tahoma" w:cs="Tahoma"/>
          <w:sz w:val="22"/>
          <w:szCs w:val="22"/>
        </w:rPr>
        <w:t xml:space="preserve"> είναι σημαντικά αυξημένος</w:t>
      </w:r>
      <w:r w:rsidR="00202EA2" w:rsidRPr="00202EA2">
        <w:rPr>
          <w:rFonts w:ascii="Tahoma" w:hAnsi="Tahoma" w:cs="Tahoma"/>
          <w:sz w:val="22"/>
          <w:szCs w:val="22"/>
        </w:rPr>
        <w:t xml:space="preserve"> (&gt;50%)</w:t>
      </w:r>
      <w:r w:rsidRPr="00202EA2">
        <w:rPr>
          <w:rFonts w:ascii="Tahoma" w:hAnsi="Tahoma" w:cs="Tahoma"/>
          <w:sz w:val="22"/>
          <w:szCs w:val="22"/>
        </w:rPr>
        <w:t xml:space="preserve"> για τις πολύ μικρές επιχειρήσεις (έως 1 άτομο προσωπικό</w:t>
      </w:r>
      <w:r w:rsidR="00202EA2" w:rsidRPr="00202EA2">
        <w:rPr>
          <w:rFonts w:ascii="Tahoma" w:hAnsi="Tahoma" w:cs="Tahoma"/>
          <w:sz w:val="22"/>
          <w:szCs w:val="22"/>
        </w:rPr>
        <w:t xml:space="preserve"> και με τζίρο έως 50χιλ)</w:t>
      </w:r>
      <w:r w:rsidRPr="00202EA2">
        <w:rPr>
          <w:rFonts w:ascii="Tahoma" w:hAnsi="Tahoma" w:cs="Tahoma"/>
          <w:sz w:val="22"/>
          <w:szCs w:val="22"/>
        </w:rPr>
        <w:t xml:space="preserve"> και </w:t>
      </w:r>
      <w:r w:rsidR="00202EA2" w:rsidRPr="00202EA2">
        <w:rPr>
          <w:rFonts w:ascii="Tahoma" w:hAnsi="Tahoma" w:cs="Tahoma"/>
          <w:sz w:val="22"/>
          <w:szCs w:val="22"/>
        </w:rPr>
        <w:t>τις επιχειρήσεις που δραστηριοποιούνται στο λεκανοπέδιο.</w:t>
      </w:r>
    </w:p>
    <w:p w:rsidR="00E740B6" w:rsidRPr="004B04BD" w:rsidRDefault="00E740B6" w:rsidP="004F3707">
      <w:pPr>
        <w:pBdr>
          <w:top w:val="single" w:sz="4" w:space="1" w:color="auto"/>
          <w:left w:val="single" w:sz="4" w:space="4" w:color="auto"/>
          <w:bottom w:val="single" w:sz="4" w:space="1" w:color="auto"/>
          <w:right w:val="single" w:sz="4" w:space="4" w:color="auto"/>
        </w:pBdr>
        <w:jc w:val="both"/>
        <w:rPr>
          <w:rFonts w:ascii="Tahoma" w:hAnsi="Tahoma" w:cs="Tahoma"/>
          <w:color w:val="FF0000"/>
          <w:sz w:val="22"/>
          <w:szCs w:val="22"/>
        </w:rPr>
      </w:pPr>
    </w:p>
    <w:p w:rsidR="004F3707" w:rsidRPr="00534945" w:rsidRDefault="000D2D16" w:rsidP="00884024">
      <w:pPr>
        <w:pStyle w:val="aa"/>
        <w:pBdr>
          <w:top w:val="single" w:sz="4" w:space="1" w:color="auto"/>
          <w:left w:val="single" w:sz="4" w:space="4" w:color="auto"/>
          <w:bottom w:val="single" w:sz="4" w:space="1" w:color="auto"/>
          <w:right w:val="single" w:sz="4" w:space="4" w:color="auto"/>
        </w:pBdr>
        <w:ind w:left="0"/>
        <w:jc w:val="both"/>
        <w:rPr>
          <w:rFonts w:ascii="Tahoma" w:hAnsi="Tahoma" w:cs="Tahoma"/>
          <w:b/>
          <w:sz w:val="22"/>
          <w:szCs w:val="22"/>
        </w:rPr>
      </w:pPr>
      <w:r w:rsidRPr="00534945">
        <w:rPr>
          <w:rFonts w:ascii="Tahoma" w:hAnsi="Tahoma" w:cs="Tahoma"/>
          <w:b/>
          <w:sz w:val="22"/>
          <w:szCs w:val="22"/>
        </w:rPr>
        <w:t xml:space="preserve">Γ. </w:t>
      </w:r>
      <w:r w:rsidR="003F7FBB" w:rsidRPr="00534945">
        <w:rPr>
          <w:rFonts w:ascii="Tahoma" w:hAnsi="Tahoma" w:cs="Tahoma"/>
          <w:b/>
          <w:sz w:val="22"/>
          <w:szCs w:val="22"/>
        </w:rPr>
        <w:t>ΥΠΟΧΡΕΩΣΕΙΣ- ΟΦΕΙΛΕΣ</w:t>
      </w:r>
    </w:p>
    <w:p w:rsidR="00884024" w:rsidRPr="004B04BD" w:rsidRDefault="00884024" w:rsidP="00884024">
      <w:pPr>
        <w:pStyle w:val="aa"/>
        <w:pBdr>
          <w:top w:val="single" w:sz="4" w:space="1" w:color="auto"/>
          <w:left w:val="single" w:sz="4" w:space="4" w:color="auto"/>
          <w:bottom w:val="single" w:sz="4" w:space="1" w:color="auto"/>
          <w:right w:val="single" w:sz="4" w:space="4" w:color="auto"/>
        </w:pBdr>
        <w:ind w:left="0"/>
        <w:jc w:val="both"/>
        <w:rPr>
          <w:rFonts w:ascii="Tahoma" w:hAnsi="Tahoma" w:cs="Tahoma"/>
          <w:color w:val="FF0000"/>
          <w:sz w:val="22"/>
          <w:szCs w:val="22"/>
        </w:rPr>
      </w:pPr>
    </w:p>
    <w:p w:rsidR="00494916" w:rsidRDefault="009A2F62" w:rsidP="004853C0">
      <w:pPr>
        <w:pStyle w:val="aa"/>
        <w:numPr>
          <w:ilvl w:val="0"/>
          <w:numId w:val="17"/>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sidRPr="00534945">
        <w:rPr>
          <w:rFonts w:ascii="Tahoma" w:hAnsi="Tahoma" w:cs="Tahoma"/>
          <w:sz w:val="22"/>
          <w:szCs w:val="22"/>
        </w:rPr>
        <w:t>Αναμφίβολα</w:t>
      </w:r>
      <w:r w:rsidR="00D932C8">
        <w:rPr>
          <w:rFonts w:ascii="Tahoma" w:hAnsi="Tahoma" w:cs="Tahoma"/>
          <w:sz w:val="22"/>
          <w:szCs w:val="22"/>
        </w:rPr>
        <w:t>,</w:t>
      </w:r>
      <w:r w:rsidRPr="00534945">
        <w:rPr>
          <w:rFonts w:ascii="Tahoma" w:hAnsi="Tahoma" w:cs="Tahoma"/>
          <w:sz w:val="22"/>
          <w:szCs w:val="22"/>
        </w:rPr>
        <w:t xml:space="preserve"> το σημαντικό</w:t>
      </w:r>
      <w:r w:rsidR="00534945" w:rsidRPr="00534945">
        <w:rPr>
          <w:rFonts w:ascii="Tahoma" w:hAnsi="Tahoma" w:cs="Tahoma"/>
          <w:sz w:val="22"/>
          <w:szCs w:val="22"/>
        </w:rPr>
        <w:t>τερο πρόβλημα που αντιμετώπισαν</w:t>
      </w:r>
      <w:r w:rsidRPr="00534945">
        <w:rPr>
          <w:rFonts w:ascii="Tahoma" w:hAnsi="Tahoma" w:cs="Tahoma"/>
          <w:sz w:val="22"/>
          <w:szCs w:val="22"/>
        </w:rPr>
        <w:t xml:space="preserve"> οι επιχειρήσεις </w:t>
      </w:r>
      <w:r w:rsidR="00090D65" w:rsidRPr="00534945">
        <w:rPr>
          <w:rFonts w:ascii="Tahoma" w:hAnsi="Tahoma" w:cs="Tahoma"/>
          <w:sz w:val="22"/>
          <w:szCs w:val="22"/>
        </w:rPr>
        <w:t>μέσα στο 2014</w:t>
      </w:r>
      <w:r w:rsidRPr="00534945">
        <w:rPr>
          <w:rFonts w:ascii="Tahoma" w:hAnsi="Tahoma" w:cs="Tahoma"/>
          <w:sz w:val="22"/>
          <w:szCs w:val="22"/>
        </w:rPr>
        <w:t xml:space="preserve"> </w:t>
      </w:r>
      <w:r w:rsidRPr="00534945">
        <w:rPr>
          <w:rFonts w:ascii="Tahoma" w:hAnsi="Tahoma" w:cs="Tahoma"/>
          <w:b/>
          <w:sz w:val="22"/>
          <w:szCs w:val="22"/>
        </w:rPr>
        <w:t xml:space="preserve">είναι </w:t>
      </w:r>
      <w:r w:rsidR="00534945" w:rsidRPr="00534945">
        <w:rPr>
          <w:rFonts w:ascii="Tahoma" w:hAnsi="Tahoma" w:cs="Tahoma"/>
          <w:b/>
          <w:sz w:val="22"/>
          <w:szCs w:val="22"/>
        </w:rPr>
        <w:t xml:space="preserve">η </w:t>
      </w:r>
      <w:r w:rsidR="00534945">
        <w:rPr>
          <w:rFonts w:ascii="Tahoma" w:hAnsi="Tahoma" w:cs="Tahoma"/>
          <w:b/>
          <w:sz w:val="22"/>
          <w:szCs w:val="22"/>
        </w:rPr>
        <w:t xml:space="preserve">παγιωμένη </w:t>
      </w:r>
      <w:r w:rsidR="00534945" w:rsidRPr="00534945">
        <w:rPr>
          <w:rFonts w:ascii="Tahoma" w:hAnsi="Tahoma" w:cs="Tahoma"/>
          <w:b/>
          <w:sz w:val="22"/>
          <w:szCs w:val="22"/>
        </w:rPr>
        <w:t>αδυναμία</w:t>
      </w:r>
      <w:r w:rsidR="00534945">
        <w:rPr>
          <w:rFonts w:ascii="Tahoma" w:hAnsi="Tahoma" w:cs="Tahoma"/>
          <w:b/>
          <w:sz w:val="22"/>
          <w:szCs w:val="22"/>
        </w:rPr>
        <w:t xml:space="preserve"> τους</w:t>
      </w:r>
      <w:r w:rsidR="00534945" w:rsidRPr="00534945">
        <w:rPr>
          <w:rFonts w:ascii="Tahoma" w:hAnsi="Tahoma" w:cs="Tahoma"/>
          <w:b/>
          <w:sz w:val="22"/>
          <w:szCs w:val="22"/>
        </w:rPr>
        <w:t xml:space="preserve"> να ξεφύγουν από την παγίδα των</w:t>
      </w:r>
      <w:r w:rsidR="00534945">
        <w:rPr>
          <w:rFonts w:ascii="Tahoma" w:hAnsi="Tahoma" w:cs="Tahoma"/>
          <w:b/>
          <w:sz w:val="22"/>
          <w:szCs w:val="22"/>
        </w:rPr>
        <w:t xml:space="preserve"> πολύ</w:t>
      </w:r>
      <w:r w:rsidR="00534945" w:rsidRPr="00534945">
        <w:rPr>
          <w:rFonts w:ascii="Tahoma" w:hAnsi="Tahoma" w:cs="Tahoma"/>
          <w:b/>
          <w:sz w:val="22"/>
          <w:szCs w:val="22"/>
        </w:rPr>
        <w:t xml:space="preserve"> υψηλών φορολογικών και ασφαλιστικών υποχρεώσεων</w:t>
      </w:r>
      <w:r w:rsidR="002861F2" w:rsidRPr="00534945">
        <w:rPr>
          <w:rFonts w:ascii="Tahoma" w:hAnsi="Tahoma" w:cs="Tahoma"/>
          <w:sz w:val="22"/>
          <w:szCs w:val="22"/>
        </w:rPr>
        <w:t>.</w:t>
      </w:r>
      <w:r w:rsidR="00534945">
        <w:rPr>
          <w:rFonts w:ascii="Tahoma" w:hAnsi="Tahoma" w:cs="Tahoma"/>
          <w:sz w:val="22"/>
          <w:szCs w:val="22"/>
        </w:rPr>
        <w:t xml:space="preserve"> Συγκεκριμένα, το 38,1% των επιχειρήσεων έχει καθυστερημένες οφειλές προς τον ΟΑΕΕ (το κύριο ασφαλιστικό ταμείο των επαγγελματιών), και το 31,9% προς την εφορία (σταθερά αυξημένο).</w:t>
      </w:r>
      <w:r w:rsidR="00494916">
        <w:rPr>
          <w:rFonts w:ascii="Tahoma" w:hAnsi="Tahoma" w:cs="Tahoma"/>
          <w:sz w:val="22"/>
          <w:szCs w:val="22"/>
        </w:rPr>
        <w:t xml:space="preserve"> Είναι χαρακτηριστικό ότι πάνω από </w:t>
      </w:r>
      <w:r w:rsidR="00D14D7B">
        <w:rPr>
          <w:rFonts w:ascii="Tahoma" w:hAnsi="Tahoma" w:cs="Tahoma"/>
          <w:sz w:val="22"/>
          <w:szCs w:val="22"/>
        </w:rPr>
        <w:t>το 20% των επιχειρήσεων εκτιμά ότι δεν θα ανταποκριθεί</w:t>
      </w:r>
      <w:r w:rsidR="00494916">
        <w:rPr>
          <w:rFonts w:ascii="Tahoma" w:hAnsi="Tahoma" w:cs="Tahoma"/>
          <w:sz w:val="22"/>
          <w:szCs w:val="22"/>
        </w:rPr>
        <w:t xml:space="preserve"> στις φορολογικές υποχρεώσεις του 2015.</w:t>
      </w:r>
    </w:p>
    <w:p w:rsidR="00494916" w:rsidRPr="00494916" w:rsidRDefault="00494916" w:rsidP="00494916">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494916" w:rsidRDefault="00534945" w:rsidP="00494916">
      <w:pPr>
        <w:pStyle w:val="aa"/>
        <w:numPr>
          <w:ilvl w:val="0"/>
          <w:numId w:val="17"/>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Pr>
          <w:rFonts w:ascii="Tahoma" w:hAnsi="Tahoma" w:cs="Tahoma"/>
          <w:sz w:val="22"/>
          <w:szCs w:val="22"/>
        </w:rPr>
        <w:t xml:space="preserve">Στις άλλες κατηγορίες </w:t>
      </w:r>
      <w:r w:rsidR="00133C31">
        <w:rPr>
          <w:rFonts w:ascii="Tahoma" w:hAnsi="Tahoma" w:cs="Tahoma"/>
          <w:sz w:val="22"/>
          <w:szCs w:val="22"/>
        </w:rPr>
        <w:t xml:space="preserve">οφειλών προς το δημόσιο, ¼ επιχειρήσεις έχουν καθυστερημένες οφειλές προς τις ΔΕΚΟ, ενώ περιορίστηκαν σημαντικά οι καθυστερημένες πληρωμές προς το ΙΚΑ (13%). </w:t>
      </w:r>
    </w:p>
    <w:p w:rsidR="00494916" w:rsidRPr="00494916" w:rsidRDefault="00494916" w:rsidP="00494916">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6642E5" w:rsidRPr="006642E5" w:rsidRDefault="00534945" w:rsidP="006642E5">
      <w:pPr>
        <w:pStyle w:val="aa"/>
        <w:numPr>
          <w:ilvl w:val="0"/>
          <w:numId w:val="17"/>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Pr>
          <w:rFonts w:ascii="Tahoma" w:hAnsi="Tahoma" w:cs="Tahoma"/>
          <w:sz w:val="22"/>
          <w:szCs w:val="22"/>
        </w:rPr>
        <w:t xml:space="preserve">Στις κατηγορίες οφειλών </w:t>
      </w:r>
      <w:r w:rsidR="00133C31">
        <w:rPr>
          <w:rFonts w:ascii="Tahoma" w:hAnsi="Tahoma" w:cs="Tahoma"/>
          <w:sz w:val="22"/>
          <w:szCs w:val="22"/>
        </w:rPr>
        <w:t>προς τον ιδιωτικό</w:t>
      </w:r>
      <w:r>
        <w:rPr>
          <w:rFonts w:ascii="Tahoma" w:hAnsi="Tahoma" w:cs="Tahoma"/>
          <w:sz w:val="22"/>
          <w:szCs w:val="22"/>
        </w:rPr>
        <w:t xml:space="preserve"> </w:t>
      </w:r>
      <w:r w:rsidR="00133C31">
        <w:rPr>
          <w:rFonts w:ascii="Tahoma" w:hAnsi="Tahoma" w:cs="Tahoma"/>
          <w:sz w:val="22"/>
          <w:szCs w:val="22"/>
        </w:rPr>
        <w:t>τομέα</w:t>
      </w:r>
      <w:r>
        <w:rPr>
          <w:rFonts w:ascii="Tahoma" w:hAnsi="Tahoma" w:cs="Tahoma"/>
          <w:sz w:val="22"/>
          <w:szCs w:val="22"/>
        </w:rPr>
        <w:t>, παρατηρείται μια ύφεση του φαινομένου υπερχρέωσης. Εντούτοις, συνεχίζουν να διατηρούν ληξιπρόθεσμες οφειλές</w:t>
      </w:r>
      <w:r w:rsidR="00A8504D">
        <w:rPr>
          <w:rFonts w:ascii="Tahoma" w:hAnsi="Tahoma" w:cs="Tahoma"/>
          <w:sz w:val="22"/>
          <w:szCs w:val="22"/>
        </w:rPr>
        <w:t>:</w:t>
      </w:r>
      <w:r>
        <w:rPr>
          <w:rFonts w:ascii="Tahoma" w:hAnsi="Tahoma" w:cs="Tahoma"/>
          <w:sz w:val="22"/>
          <w:szCs w:val="22"/>
        </w:rPr>
        <w:t xml:space="preserve"> το 23,8% των επιχειρήσεων σε προμηθευτές, το 17,9% σε ενοίκια, το 15,7% σε δόσεις δανείων.</w:t>
      </w:r>
    </w:p>
    <w:p w:rsidR="003340C0" w:rsidRPr="00490F37" w:rsidRDefault="00494916" w:rsidP="00556999">
      <w:pPr>
        <w:pStyle w:val="aa"/>
        <w:numPr>
          <w:ilvl w:val="0"/>
          <w:numId w:val="17"/>
        </w:numPr>
        <w:pBdr>
          <w:top w:val="single" w:sz="4" w:space="1" w:color="auto"/>
          <w:left w:val="single" w:sz="4" w:space="4" w:color="auto"/>
          <w:bottom w:val="single" w:sz="4" w:space="1" w:color="auto"/>
          <w:right w:val="single" w:sz="4" w:space="4" w:color="auto"/>
        </w:pBdr>
        <w:ind w:left="426" w:hanging="426"/>
        <w:jc w:val="both"/>
        <w:rPr>
          <w:rFonts w:ascii="Tahoma" w:hAnsi="Tahoma" w:cs="Tahoma"/>
          <w:b/>
          <w:sz w:val="22"/>
          <w:szCs w:val="22"/>
        </w:rPr>
      </w:pPr>
      <w:r w:rsidRPr="00490F37">
        <w:rPr>
          <w:rFonts w:ascii="Tahoma" w:hAnsi="Tahoma" w:cs="Tahoma"/>
          <w:sz w:val="22"/>
          <w:szCs w:val="22"/>
        </w:rPr>
        <w:lastRenderedPageBreak/>
        <w:t>Σχετικά περιορισμένη είναι η χρήση της προηγούμενης ρύθμισης των 72-100 δόσεων για οφειλές στην εφορία και τα ασφαλιστικά ταμεία, καθώς μόλις 1 στους 3 επιτηδευματίες που έχει καθυστερημένες πληρωμές έχει κάνει αίτηση υπαγωγής, ενώ 1 στους 3 σκέφτονται να κάνουν.</w:t>
      </w:r>
      <w:r w:rsidR="00556999" w:rsidRPr="00490F37">
        <w:rPr>
          <w:rFonts w:ascii="Tahoma" w:hAnsi="Tahoma" w:cs="Tahoma"/>
          <w:sz w:val="22"/>
          <w:szCs w:val="22"/>
        </w:rPr>
        <w:t xml:space="preserve"> </w:t>
      </w:r>
      <w:r w:rsidRPr="00490F37">
        <w:rPr>
          <w:rFonts w:ascii="Tahoma" w:hAnsi="Tahoma" w:cs="Tahoma"/>
          <w:sz w:val="22"/>
          <w:szCs w:val="22"/>
        </w:rPr>
        <w:t>Είναι προφανές ότι η</w:t>
      </w:r>
      <w:r w:rsidR="00356BAD" w:rsidRPr="00490F37">
        <w:rPr>
          <w:rFonts w:ascii="Tahoma" w:hAnsi="Tahoma" w:cs="Tahoma"/>
          <w:sz w:val="22"/>
          <w:szCs w:val="22"/>
        </w:rPr>
        <w:t xml:space="preserve"> νέα ρύθμιση των 100 δόσεων για τις ληξιπρόθεσμες φορολογικές οφειλές που ψηφίστηκε πρόσφατα θα διευκολύνει σε μεγάλο βαθμό τις επιχειρήσεις, </w:t>
      </w:r>
      <w:r w:rsidR="00356BAD" w:rsidRPr="00490F37">
        <w:rPr>
          <w:rFonts w:ascii="Tahoma" w:hAnsi="Tahoma" w:cs="Tahoma"/>
          <w:b/>
          <w:sz w:val="22"/>
          <w:szCs w:val="22"/>
        </w:rPr>
        <w:t>δε συμβαίνει όμως το ίδιο για τη ρύθμιση των ασφαλιστικών οφειλών όπου το πλαίσιο παραμένει ασφυκτικό και δεν θα επιτρέψει την ταυτόχρονη εξυπηρέτηση τρεχουσών εισφορών και παλαιότερων χρεών.</w:t>
      </w:r>
    </w:p>
    <w:p w:rsidR="00356BAD" w:rsidRPr="00490F37" w:rsidRDefault="00356BAD" w:rsidP="00E740B6">
      <w:pPr>
        <w:pStyle w:val="aa"/>
        <w:pBdr>
          <w:top w:val="single" w:sz="4" w:space="1" w:color="auto"/>
          <w:left w:val="single" w:sz="4" w:space="4" w:color="auto"/>
          <w:bottom w:val="single" w:sz="4" w:space="1" w:color="auto"/>
          <w:right w:val="single" w:sz="4" w:space="4" w:color="auto"/>
        </w:pBdr>
        <w:ind w:left="0"/>
        <w:jc w:val="both"/>
        <w:rPr>
          <w:rFonts w:ascii="Tahoma" w:hAnsi="Tahoma" w:cs="Tahoma"/>
          <w:b/>
          <w:sz w:val="22"/>
          <w:szCs w:val="22"/>
        </w:rPr>
      </w:pPr>
    </w:p>
    <w:p w:rsidR="00E740B6" w:rsidRPr="00490F37" w:rsidRDefault="00E740B6" w:rsidP="00E740B6">
      <w:pPr>
        <w:pStyle w:val="aa"/>
        <w:pBdr>
          <w:top w:val="single" w:sz="4" w:space="1" w:color="auto"/>
          <w:left w:val="single" w:sz="4" w:space="4" w:color="auto"/>
          <w:bottom w:val="single" w:sz="4" w:space="1" w:color="auto"/>
          <w:right w:val="single" w:sz="4" w:space="4" w:color="auto"/>
        </w:pBdr>
        <w:ind w:left="0"/>
        <w:jc w:val="both"/>
        <w:rPr>
          <w:rFonts w:ascii="Tahoma" w:hAnsi="Tahoma" w:cs="Tahoma"/>
          <w:b/>
          <w:sz w:val="22"/>
          <w:szCs w:val="22"/>
        </w:rPr>
      </w:pPr>
      <w:r w:rsidRPr="00490F37">
        <w:rPr>
          <w:rFonts w:ascii="Tahoma" w:hAnsi="Tahoma" w:cs="Tahoma"/>
          <w:b/>
          <w:sz w:val="22"/>
          <w:szCs w:val="22"/>
        </w:rPr>
        <w:t>Δ. ΑΠΑΣΧΟΛΗΣΗ</w:t>
      </w:r>
    </w:p>
    <w:p w:rsidR="00E740B6" w:rsidRPr="00490F37" w:rsidRDefault="00E740B6" w:rsidP="00E740B6">
      <w:pPr>
        <w:pStyle w:val="aa"/>
        <w:pBdr>
          <w:top w:val="single" w:sz="4" w:space="1" w:color="auto"/>
          <w:left w:val="single" w:sz="4" w:space="4" w:color="auto"/>
          <w:bottom w:val="single" w:sz="4" w:space="1" w:color="auto"/>
          <w:right w:val="single" w:sz="4" w:space="4" w:color="auto"/>
        </w:pBdr>
        <w:ind w:left="0"/>
        <w:jc w:val="both"/>
        <w:rPr>
          <w:rFonts w:ascii="Tahoma" w:hAnsi="Tahoma" w:cs="Tahoma"/>
          <w:color w:val="FF0000"/>
          <w:sz w:val="22"/>
          <w:szCs w:val="22"/>
        </w:rPr>
      </w:pPr>
    </w:p>
    <w:p w:rsidR="00966EF8" w:rsidRPr="00490F37" w:rsidRDefault="00CC2CF9" w:rsidP="00CC2CF9">
      <w:pPr>
        <w:pStyle w:val="aa"/>
        <w:numPr>
          <w:ilvl w:val="0"/>
          <w:numId w:val="15"/>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sidRPr="00490F37">
        <w:rPr>
          <w:rFonts w:ascii="Tahoma" w:hAnsi="Tahoma" w:cs="Tahoma"/>
          <w:sz w:val="22"/>
          <w:szCs w:val="22"/>
        </w:rPr>
        <w:t xml:space="preserve">Τα ευρήματα σχετικά με τις τάσεις απασχόλησης ακολουθούν τη συντηρητική συμπεριφορά και τις επιφυλάξεις που έχουν οι επιχειρήσεις για τις μελλοντικές επενδυτικές τους προοπτικές. Σύμφωνα με τα αποτελέσματα της έρευνας, εκτιμάται ότι στο προηγούμενο </w:t>
      </w:r>
      <w:r w:rsidR="00966EF8" w:rsidRPr="00490F37">
        <w:rPr>
          <w:rFonts w:ascii="Tahoma" w:hAnsi="Tahoma" w:cs="Tahoma"/>
          <w:sz w:val="22"/>
          <w:szCs w:val="22"/>
        </w:rPr>
        <w:t>εξάμηνο</w:t>
      </w:r>
      <w:r w:rsidR="00556999" w:rsidRPr="00490F37">
        <w:rPr>
          <w:rFonts w:ascii="Tahoma" w:hAnsi="Tahoma" w:cs="Tahoma"/>
          <w:sz w:val="22"/>
          <w:szCs w:val="22"/>
        </w:rPr>
        <w:t xml:space="preserve"> (β’ εξάμηνο</w:t>
      </w:r>
      <w:r w:rsidR="00966EF8" w:rsidRPr="00490F37">
        <w:rPr>
          <w:rFonts w:ascii="Tahoma" w:hAnsi="Tahoma" w:cs="Tahoma"/>
          <w:sz w:val="22"/>
          <w:szCs w:val="22"/>
        </w:rPr>
        <w:t xml:space="preserve"> 2014</w:t>
      </w:r>
      <w:r w:rsidR="00556999" w:rsidRPr="00490F37">
        <w:rPr>
          <w:rFonts w:ascii="Tahoma" w:hAnsi="Tahoma" w:cs="Tahoma"/>
          <w:sz w:val="22"/>
          <w:szCs w:val="22"/>
        </w:rPr>
        <w:t>)</w:t>
      </w:r>
      <w:r w:rsidR="00966EF8" w:rsidRPr="00490F37">
        <w:rPr>
          <w:rFonts w:ascii="Tahoma" w:hAnsi="Tahoma" w:cs="Tahoma"/>
          <w:sz w:val="22"/>
          <w:szCs w:val="22"/>
        </w:rPr>
        <w:t xml:space="preserve"> οι απώλειες θέσεων απασχόλησης στις ΜΜΕ ανήλθαν στις 40,000.</w:t>
      </w:r>
    </w:p>
    <w:p w:rsidR="00CC2CF9" w:rsidRPr="00490F37" w:rsidRDefault="00CC2CF9" w:rsidP="00CC2CF9">
      <w:pPr>
        <w:pStyle w:val="aa"/>
        <w:numPr>
          <w:ilvl w:val="0"/>
          <w:numId w:val="15"/>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sidRPr="00490F37">
        <w:rPr>
          <w:rFonts w:ascii="Tahoma" w:hAnsi="Tahoma" w:cs="Tahoma"/>
          <w:sz w:val="22"/>
          <w:szCs w:val="22"/>
        </w:rPr>
        <w:t>Στο επόμενο εξάμηνο, αναμένεται ο λόγος απολύσεων-προσλήψεων να είναι 1:1</w:t>
      </w:r>
      <w:r w:rsidR="003535A6" w:rsidRPr="00490F37">
        <w:rPr>
          <w:rFonts w:ascii="Tahoma" w:hAnsi="Tahoma" w:cs="Tahoma"/>
          <w:sz w:val="22"/>
          <w:szCs w:val="22"/>
        </w:rPr>
        <w:t>,1</w:t>
      </w:r>
      <w:r w:rsidR="00806674" w:rsidRPr="00490F37">
        <w:rPr>
          <w:rFonts w:ascii="Tahoma" w:hAnsi="Tahoma" w:cs="Tahoma"/>
          <w:sz w:val="22"/>
          <w:szCs w:val="22"/>
        </w:rPr>
        <w:t xml:space="preserve"> (ενώ το</w:t>
      </w:r>
      <w:r w:rsidR="0062573C" w:rsidRPr="00490F37">
        <w:rPr>
          <w:rFonts w:ascii="Tahoma" w:hAnsi="Tahoma" w:cs="Tahoma"/>
          <w:sz w:val="22"/>
          <w:szCs w:val="22"/>
        </w:rPr>
        <w:t xml:space="preserve"> Φεβρουάριο του 2014 αυτός ο λόγος ήταν 1:1,6</w:t>
      </w:r>
      <w:r w:rsidR="00806674" w:rsidRPr="00490F37">
        <w:rPr>
          <w:rFonts w:ascii="Tahoma" w:hAnsi="Tahoma" w:cs="Tahoma"/>
          <w:sz w:val="22"/>
          <w:szCs w:val="22"/>
        </w:rPr>
        <w:t>)</w:t>
      </w:r>
      <w:r w:rsidRPr="00490F37">
        <w:rPr>
          <w:rFonts w:ascii="Tahoma" w:hAnsi="Tahoma" w:cs="Tahoma"/>
          <w:sz w:val="22"/>
          <w:szCs w:val="22"/>
        </w:rPr>
        <w:t>, γεγονός που δεν προοιωνίζεται την άμεση αποκλιμάκωση της ανεργίας και σηματοδοτεί την ανάγκη λήψης δράσεων για την αύξηση της απασχόλησης.</w:t>
      </w:r>
      <w:r w:rsidR="00806674" w:rsidRPr="00490F37">
        <w:rPr>
          <w:rFonts w:ascii="Tahoma" w:hAnsi="Tahoma" w:cs="Tahoma"/>
          <w:sz w:val="22"/>
          <w:szCs w:val="22"/>
        </w:rPr>
        <w:t xml:space="preserve"> </w:t>
      </w:r>
    </w:p>
    <w:p w:rsidR="008C5AEB" w:rsidRPr="00490F37" w:rsidRDefault="00CC5AD7" w:rsidP="00092934">
      <w:pPr>
        <w:pStyle w:val="aa"/>
        <w:numPr>
          <w:ilvl w:val="0"/>
          <w:numId w:val="15"/>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sidRPr="00490F37">
        <w:rPr>
          <w:rFonts w:ascii="Tahoma" w:hAnsi="Tahoma" w:cs="Tahoma"/>
          <w:sz w:val="22"/>
          <w:szCs w:val="22"/>
        </w:rPr>
        <w:t xml:space="preserve">Δεδομένου </w:t>
      </w:r>
      <w:r w:rsidR="00806674" w:rsidRPr="00490F37">
        <w:rPr>
          <w:rFonts w:ascii="Tahoma" w:hAnsi="Tahoma" w:cs="Tahoma"/>
          <w:sz w:val="22"/>
          <w:szCs w:val="22"/>
        </w:rPr>
        <w:t xml:space="preserve">μάλιστα </w:t>
      </w:r>
      <w:r w:rsidRPr="00490F37">
        <w:rPr>
          <w:rFonts w:ascii="Tahoma" w:hAnsi="Tahoma" w:cs="Tahoma"/>
          <w:sz w:val="22"/>
          <w:szCs w:val="22"/>
        </w:rPr>
        <w:t xml:space="preserve">ότι, σύμφωνα με τις εκτιμήσεις του ΙΜΕ-ΓΣΕΒΕΕ, </w:t>
      </w:r>
      <w:r w:rsidR="00932A7F" w:rsidRPr="00490F37">
        <w:rPr>
          <w:rFonts w:ascii="Tahoma" w:hAnsi="Tahoma" w:cs="Tahoma"/>
          <w:b/>
          <w:sz w:val="22"/>
          <w:szCs w:val="22"/>
        </w:rPr>
        <w:t>8</w:t>
      </w:r>
      <w:r w:rsidR="00A87FF8" w:rsidRPr="00490F37">
        <w:rPr>
          <w:rFonts w:ascii="Tahoma" w:hAnsi="Tahoma" w:cs="Tahoma"/>
          <w:b/>
          <w:sz w:val="22"/>
          <w:szCs w:val="22"/>
        </w:rPr>
        <w:t>,</w:t>
      </w:r>
      <w:r w:rsidR="00932A7F" w:rsidRPr="00490F37">
        <w:rPr>
          <w:rFonts w:ascii="Tahoma" w:hAnsi="Tahoma" w:cs="Tahoma"/>
          <w:b/>
          <w:sz w:val="22"/>
          <w:szCs w:val="22"/>
        </w:rPr>
        <w:t>5</w:t>
      </w:r>
      <w:r w:rsidR="00A87FF8" w:rsidRPr="00490F37">
        <w:rPr>
          <w:rFonts w:ascii="Tahoma" w:hAnsi="Tahoma" w:cs="Tahoma"/>
          <w:b/>
          <w:sz w:val="22"/>
          <w:szCs w:val="22"/>
        </w:rPr>
        <w:t xml:space="preserve">00 </w:t>
      </w:r>
      <w:r w:rsidRPr="00490F37">
        <w:rPr>
          <w:rFonts w:ascii="Tahoma" w:hAnsi="Tahoma" w:cs="Tahoma"/>
          <w:b/>
          <w:sz w:val="22"/>
          <w:szCs w:val="22"/>
        </w:rPr>
        <w:t>επιχειρήσεις</w:t>
      </w:r>
      <w:r w:rsidR="0051792E" w:rsidRPr="00490F37">
        <w:rPr>
          <w:rFonts w:ascii="Tahoma" w:hAnsi="Tahoma" w:cs="Tahoma"/>
          <w:sz w:val="22"/>
          <w:szCs w:val="22"/>
        </w:rPr>
        <w:t xml:space="preserve"> (σημείο Β1)</w:t>
      </w:r>
      <w:r w:rsidRPr="00490F37">
        <w:rPr>
          <w:rFonts w:ascii="Tahoma" w:hAnsi="Tahoma" w:cs="Tahoma"/>
          <w:sz w:val="22"/>
          <w:szCs w:val="22"/>
        </w:rPr>
        <w:t xml:space="preserve"> θα κλείσουν το επόμενο εξάμηνο, αυτό σημαίνει ότι υπάρχει κίνδυνος απώλειας </w:t>
      </w:r>
      <w:r w:rsidR="00F1288E" w:rsidRPr="00490F37">
        <w:rPr>
          <w:rFonts w:ascii="Tahoma" w:hAnsi="Tahoma" w:cs="Tahoma"/>
          <w:sz w:val="22"/>
          <w:szCs w:val="22"/>
        </w:rPr>
        <w:t>20</w:t>
      </w:r>
      <w:r w:rsidR="00A87FF8" w:rsidRPr="00490F37">
        <w:rPr>
          <w:rFonts w:ascii="Tahoma" w:hAnsi="Tahoma" w:cs="Tahoma"/>
          <w:sz w:val="22"/>
          <w:szCs w:val="22"/>
        </w:rPr>
        <w:t>,000</w:t>
      </w:r>
      <w:r w:rsidRPr="00490F37">
        <w:rPr>
          <w:rFonts w:ascii="Tahoma" w:hAnsi="Tahoma" w:cs="Tahoma"/>
          <w:sz w:val="22"/>
          <w:szCs w:val="22"/>
        </w:rPr>
        <w:t xml:space="preserve"> θ</w:t>
      </w:r>
      <w:r w:rsidR="008C5AEB" w:rsidRPr="00490F37">
        <w:rPr>
          <w:rFonts w:ascii="Tahoma" w:hAnsi="Tahoma" w:cs="Tahoma"/>
          <w:sz w:val="22"/>
          <w:szCs w:val="22"/>
        </w:rPr>
        <w:t>έσεων συνολικής απασχόλησης</w:t>
      </w:r>
      <w:r w:rsidR="008C5AEB" w:rsidRPr="00490F37">
        <w:rPr>
          <w:rFonts w:ascii="Tahoma" w:hAnsi="Tahoma" w:cs="Tahoma"/>
          <w:b/>
          <w:sz w:val="22"/>
          <w:szCs w:val="22"/>
        </w:rPr>
        <w:t xml:space="preserve"> (εργοδότες, αυτοαπασχολούμενοι, μισθωτοί)</w:t>
      </w:r>
      <w:r w:rsidRPr="00490F37">
        <w:rPr>
          <w:rFonts w:ascii="Tahoma" w:hAnsi="Tahoma" w:cs="Tahoma"/>
          <w:sz w:val="22"/>
          <w:szCs w:val="22"/>
        </w:rPr>
        <w:t>.</w:t>
      </w:r>
      <w:r w:rsidR="00F1288E" w:rsidRPr="00490F37">
        <w:rPr>
          <w:rFonts w:ascii="Tahoma" w:hAnsi="Tahoma" w:cs="Tahoma"/>
          <w:sz w:val="22"/>
          <w:szCs w:val="22"/>
        </w:rPr>
        <w:t xml:space="preserve"> </w:t>
      </w:r>
      <w:r w:rsidR="00EE55A5" w:rsidRPr="00490F37">
        <w:rPr>
          <w:rFonts w:ascii="Tahoma" w:hAnsi="Tahoma" w:cs="Tahoma"/>
          <w:sz w:val="22"/>
          <w:szCs w:val="22"/>
        </w:rPr>
        <w:t>Με βάση τη σημερινή οικονομική πραγματικότητα, ο</w:t>
      </w:r>
      <w:r w:rsidR="00F1288E" w:rsidRPr="00490F37">
        <w:rPr>
          <w:rFonts w:ascii="Tahoma" w:hAnsi="Tahoma" w:cs="Tahoma"/>
          <w:sz w:val="22"/>
          <w:szCs w:val="22"/>
        </w:rPr>
        <w:t>ι καθαρές ροές απασχόλησης δεν αναμένεται να μεταβληθούν σημαντικά</w:t>
      </w:r>
      <w:r w:rsidR="00932A7F" w:rsidRPr="00490F37">
        <w:rPr>
          <w:rFonts w:ascii="Tahoma" w:hAnsi="Tahoma" w:cs="Tahoma"/>
          <w:sz w:val="22"/>
          <w:szCs w:val="22"/>
        </w:rPr>
        <w:t xml:space="preserve"> στο επόμενο εξάμηνο</w:t>
      </w:r>
      <w:r w:rsidR="00F1288E" w:rsidRPr="00490F37">
        <w:rPr>
          <w:rFonts w:ascii="Tahoma" w:hAnsi="Tahoma" w:cs="Tahoma"/>
          <w:sz w:val="22"/>
          <w:szCs w:val="22"/>
        </w:rPr>
        <w:t>.</w:t>
      </w:r>
      <w:r w:rsidRPr="00490F37">
        <w:rPr>
          <w:rFonts w:ascii="Tahoma" w:hAnsi="Tahoma" w:cs="Tahoma"/>
          <w:sz w:val="22"/>
          <w:szCs w:val="22"/>
        </w:rPr>
        <w:t xml:space="preserve"> </w:t>
      </w:r>
    </w:p>
    <w:p w:rsidR="00806674" w:rsidRPr="00806674" w:rsidRDefault="00806674" w:rsidP="00806674">
      <w:pPr>
        <w:pStyle w:val="aa"/>
        <w:numPr>
          <w:ilvl w:val="0"/>
          <w:numId w:val="15"/>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Pr>
          <w:rFonts w:ascii="Tahoma" w:hAnsi="Tahoma" w:cs="Tahoma"/>
          <w:sz w:val="22"/>
          <w:szCs w:val="22"/>
        </w:rPr>
        <w:t xml:space="preserve">Οι δυσκολίες </w:t>
      </w:r>
      <w:r w:rsidR="007919CF">
        <w:rPr>
          <w:rFonts w:ascii="Tahoma" w:hAnsi="Tahoma" w:cs="Tahoma"/>
          <w:sz w:val="22"/>
          <w:szCs w:val="22"/>
        </w:rPr>
        <w:t xml:space="preserve">που αντιμετωπίζουν οι επιχειρήσεις </w:t>
      </w:r>
      <w:r>
        <w:rPr>
          <w:rFonts w:ascii="Tahoma" w:hAnsi="Tahoma" w:cs="Tahoma"/>
          <w:sz w:val="22"/>
          <w:szCs w:val="22"/>
        </w:rPr>
        <w:t xml:space="preserve">σχετικά με την καταβολή των μισθών, το ωράριο και τη μορφή απασχόλησης συνεχίζονται χωρίς να παρέχονται εξωγενείς λύσεις. Το 44,4% των επιχειρήσεων δηλώνει ότι αντιμετωπίζει δυσκολίες στην καταβολή των μισθών. </w:t>
      </w:r>
      <w:r w:rsidRPr="00806674">
        <w:rPr>
          <w:rFonts w:ascii="Tahoma" w:hAnsi="Tahoma" w:cs="Tahoma"/>
          <w:sz w:val="22"/>
          <w:szCs w:val="22"/>
        </w:rPr>
        <w:t>Το γεγονός μάλιστα ότι οι τάσεις επιλογής των ευέλικτων μορφών απασχόλησης παγιώνονται σε ποσοστά άνω του 40%</w:t>
      </w:r>
      <w:r>
        <w:rPr>
          <w:rFonts w:ascii="Tahoma" w:hAnsi="Tahoma" w:cs="Tahoma"/>
          <w:sz w:val="22"/>
          <w:szCs w:val="22"/>
        </w:rPr>
        <w:t xml:space="preserve"> (διευρύνθηκε οριακά στο 43%)</w:t>
      </w:r>
      <w:r w:rsidRPr="00806674">
        <w:rPr>
          <w:rFonts w:ascii="Tahoma" w:hAnsi="Tahoma" w:cs="Tahoma"/>
          <w:sz w:val="22"/>
          <w:szCs w:val="22"/>
        </w:rPr>
        <w:t xml:space="preserve"> αναδεικνύουν </w:t>
      </w:r>
      <w:r w:rsidR="00367F99">
        <w:rPr>
          <w:rFonts w:ascii="Tahoma" w:hAnsi="Tahoma" w:cs="Tahoma"/>
          <w:sz w:val="22"/>
          <w:szCs w:val="22"/>
        </w:rPr>
        <w:t>ότι προτεραιότητα της νέας κυβέρνησης</w:t>
      </w:r>
      <w:r w:rsidR="007919CF">
        <w:rPr>
          <w:rFonts w:ascii="Tahoma" w:hAnsi="Tahoma" w:cs="Tahoma"/>
          <w:sz w:val="22"/>
          <w:szCs w:val="22"/>
        </w:rPr>
        <w:t xml:space="preserve"> πρέπει να</w:t>
      </w:r>
      <w:r w:rsidR="00367F99">
        <w:rPr>
          <w:rFonts w:ascii="Tahoma" w:hAnsi="Tahoma" w:cs="Tahoma"/>
          <w:sz w:val="22"/>
          <w:szCs w:val="22"/>
        </w:rPr>
        <w:t xml:space="preserve"> είναι η παρέμβαση </w:t>
      </w:r>
      <w:r w:rsidRPr="00806674">
        <w:rPr>
          <w:rFonts w:ascii="Tahoma" w:hAnsi="Tahoma" w:cs="Tahoma"/>
          <w:sz w:val="22"/>
          <w:szCs w:val="22"/>
        </w:rPr>
        <w:t xml:space="preserve"> στο πεδίο της πραγματικής οικονομίας</w:t>
      </w:r>
      <w:r w:rsidR="00367F99">
        <w:rPr>
          <w:rFonts w:ascii="Tahoma" w:hAnsi="Tahoma" w:cs="Tahoma"/>
          <w:sz w:val="22"/>
          <w:szCs w:val="22"/>
        </w:rPr>
        <w:t xml:space="preserve"> (επενδύσεις, σταθερό φορολογικό σύστημα)</w:t>
      </w:r>
      <w:r w:rsidRPr="00806674">
        <w:rPr>
          <w:rFonts w:ascii="Tahoma" w:hAnsi="Tahoma" w:cs="Tahoma"/>
          <w:sz w:val="22"/>
          <w:szCs w:val="22"/>
        </w:rPr>
        <w:t xml:space="preserve">, και όχι </w:t>
      </w:r>
      <w:r w:rsidR="00367F99">
        <w:rPr>
          <w:rFonts w:ascii="Tahoma" w:hAnsi="Tahoma" w:cs="Tahoma"/>
          <w:sz w:val="22"/>
          <w:szCs w:val="22"/>
        </w:rPr>
        <w:t xml:space="preserve">επί </w:t>
      </w:r>
      <w:r w:rsidRPr="00806674">
        <w:rPr>
          <w:rFonts w:ascii="Tahoma" w:hAnsi="Tahoma" w:cs="Tahoma"/>
          <w:sz w:val="22"/>
          <w:szCs w:val="22"/>
        </w:rPr>
        <w:t xml:space="preserve">των ονομαστικών μεγεθών. </w:t>
      </w:r>
    </w:p>
    <w:p w:rsidR="00EE55A5" w:rsidRPr="004B04BD" w:rsidRDefault="00EE55A5" w:rsidP="008E4116">
      <w:pPr>
        <w:pStyle w:val="aa"/>
        <w:pBdr>
          <w:top w:val="single" w:sz="4" w:space="1" w:color="auto"/>
          <w:left w:val="single" w:sz="4" w:space="4" w:color="auto"/>
          <w:bottom w:val="single" w:sz="4" w:space="1" w:color="auto"/>
          <w:right w:val="single" w:sz="4" w:space="4" w:color="auto"/>
        </w:pBdr>
        <w:ind w:left="0"/>
        <w:jc w:val="both"/>
        <w:rPr>
          <w:rFonts w:ascii="Tahoma" w:hAnsi="Tahoma" w:cs="Tahoma"/>
          <w:color w:val="FF0000"/>
          <w:sz w:val="22"/>
          <w:szCs w:val="22"/>
        </w:rPr>
      </w:pPr>
    </w:p>
    <w:p w:rsidR="00686BE0" w:rsidRPr="00202EA2" w:rsidRDefault="00512E98" w:rsidP="00686BE0">
      <w:pPr>
        <w:pStyle w:val="aa"/>
        <w:pBdr>
          <w:top w:val="single" w:sz="4" w:space="1" w:color="auto"/>
          <w:left w:val="single" w:sz="4" w:space="4" w:color="auto"/>
          <w:bottom w:val="single" w:sz="4" w:space="1" w:color="auto"/>
          <w:right w:val="single" w:sz="4" w:space="4" w:color="auto"/>
        </w:pBdr>
        <w:ind w:left="0"/>
        <w:jc w:val="both"/>
        <w:rPr>
          <w:rFonts w:ascii="Tahoma" w:hAnsi="Tahoma" w:cs="Tahoma"/>
          <w:b/>
          <w:sz w:val="22"/>
          <w:szCs w:val="22"/>
        </w:rPr>
      </w:pPr>
      <w:r w:rsidRPr="00202EA2">
        <w:rPr>
          <w:rFonts w:ascii="Tahoma" w:hAnsi="Tahoma" w:cs="Tahoma"/>
          <w:b/>
          <w:sz w:val="22"/>
          <w:szCs w:val="22"/>
        </w:rPr>
        <w:t>Ε</w:t>
      </w:r>
      <w:r w:rsidR="00E63193" w:rsidRPr="00202EA2">
        <w:rPr>
          <w:rFonts w:ascii="Tahoma" w:hAnsi="Tahoma" w:cs="Tahoma"/>
          <w:b/>
          <w:sz w:val="22"/>
          <w:szCs w:val="22"/>
        </w:rPr>
        <w:t xml:space="preserve">. </w:t>
      </w:r>
      <w:r w:rsidR="00202EA2" w:rsidRPr="00202EA2">
        <w:rPr>
          <w:rFonts w:ascii="Tahoma" w:hAnsi="Tahoma" w:cs="Tahoma"/>
          <w:b/>
          <w:sz w:val="22"/>
          <w:szCs w:val="22"/>
        </w:rPr>
        <w:t>ΕΙΔΙΚΑ ΘΕΜΑΤΑ ΜΙΚΡΩΝ ΕΠΙΧΕΙΡΗΣΕΩΝ</w:t>
      </w:r>
    </w:p>
    <w:p w:rsidR="00D645E8" w:rsidRPr="004B04BD" w:rsidRDefault="00D645E8" w:rsidP="00686BE0">
      <w:pPr>
        <w:pStyle w:val="aa"/>
        <w:pBdr>
          <w:top w:val="single" w:sz="4" w:space="1" w:color="auto"/>
          <w:left w:val="single" w:sz="4" w:space="4" w:color="auto"/>
          <w:bottom w:val="single" w:sz="4" w:space="1" w:color="auto"/>
          <w:right w:val="single" w:sz="4" w:space="4" w:color="auto"/>
        </w:pBdr>
        <w:ind w:left="0"/>
        <w:jc w:val="both"/>
        <w:rPr>
          <w:rFonts w:ascii="Tahoma" w:hAnsi="Tahoma" w:cs="Tahoma"/>
          <w:b/>
          <w:color w:val="FF0000"/>
          <w:sz w:val="22"/>
          <w:szCs w:val="22"/>
        </w:rPr>
      </w:pPr>
    </w:p>
    <w:p w:rsidR="00605F53" w:rsidRPr="00490F37" w:rsidRDefault="00202EA2" w:rsidP="00490F37">
      <w:pPr>
        <w:pStyle w:val="aa"/>
        <w:numPr>
          <w:ilvl w:val="0"/>
          <w:numId w:val="19"/>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sidRPr="00605F53">
        <w:rPr>
          <w:rFonts w:ascii="Tahoma" w:hAnsi="Tahoma" w:cs="Tahoma"/>
          <w:sz w:val="22"/>
          <w:szCs w:val="22"/>
        </w:rPr>
        <w:t xml:space="preserve">Για ακόμη μια χρονιά, </w:t>
      </w:r>
      <w:r w:rsidRPr="00490F37">
        <w:rPr>
          <w:rFonts w:ascii="Tahoma" w:hAnsi="Tahoma" w:cs="Tahoma"/>
          <w:b/>
          <w:sz w:val="22"/>
          <w:szCs w:val="22"/>
        </w:rPr>
        <w:t>τα αποτελέσματα από το άνοιγμα των καταστημάτων τις Κυριακές, ήταν πενιχρά και απογοητευτικά</w:t>
      </w:r>
      <w:r w:rsidRPr="00605F53">
        <w:rPr>
          <w:rFonts w:ascii="Tahoma" w:hAnsi="Tahoma" w:cs="Tahoma"/>
          <w:sz w:val="22"/>
          <w:szCs w:val="22"/>
        </w:rPr>
        <w:t>, παρά τη σχετική σταθεροποίηση της αγοράς. Σύμφωνα με τα ευρήματα της έρευνας του ΙΜΕ-ΓΣΕΒΕΕ, μόλις το 4% των επιχειρήσεων σημείωσε αύξηση του κύκλου εργασιών συνεπεία της κυριακάτικης λειτουργίας</w:t>
      </w:r>
      <w:r w:rsidR="00605F53" w:rsidRPr="00605F53">
        <w:rPr>
          <w:rFonts w:ascii="Tahoma" w:hAnsi="Tahoma" w:cs="Tahoma"/>
          <w:sz w:val="22"/>
          <w:szCs w:val="22"/>
        </w:rPr>
        <w:t xml:space="preserve">. 7 στις 10 επιχειρήσεις είναι επί της αρχής αντίθετες στο άνοιγμα των καταστημάτων την ημέρα της Κυριακής. </w:t>
      </w:r>
      <w:r w:rsidR="00490F37" w:rsidRPr="00490F37">
        <w:rPr>
          <w:rFonts w:ascii="Tahoma" w:hAnsi="Tahoma" w:cs="Tahoma"/>
          <w:sz w:val="22"/>
          <w:szCs w:val="22"/>
        </w:rPr>
        <w:t>Οι αποσπασματικές παρεμβάσεις που μεταβάλλουν απροσανατόλιστα το οικονομικό περιβάλλον δε βοηθούν την επιχειρηματική δραστηριότητα.</w:t>
      </w:r>
    </w:p>
    <w:p w:rsidR="00490F37" w:rsidRPr="00490F37" w:rsidRDefault="00490F37" w:rsidP="00490F37">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202EA2" w:rsidRPr="00605F53" w:rsidRDefault="00202EA2" w:rsidP="00202EA2">
      <w:pPr>
        <w:pStyle w:val="aa"/>
        <w:numPr>
          <w:ilvl w:val="0"/>
          <w:numId w:val="19"/>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sidRPr="00605F53">
        <w:rPr>
          <w:rFonts w:ascii="Tahoma" w:hAnsi="Tahoma" w:cs="Tahoma"/>
          <w:sz w:val="22"/>
          <w:szCs w:val="22"/>
        </w:rPr>
        <w:t xml:space="preserve">Σημαντικό εργαλείο για την ανάπτυξη και τη χρηματοδότηση της μικρής επιχειρηματικότητας </w:t>
      </w:r>
      <w:r w:rsidR="00605F53" w:rsidRPr="00605F53">
        <w:rPr>
          <w:rFonts w:ascii="Tahoma" w:hAnsi="Tahoma" w:cs="Tahoma"/>
          <w:sz w:val="22"/>
          <w:szCs w:val="22"/>
        </w:rPr>
        <w:t xml:space="preserve">θεωρείται από τις </w:t>
      </w:r>
      <w:proofErr w:type="spellStart"/>
      <w:r w:rsidR="00605F53" w:rsidRPr="00605F53">
        <w:rPr>
          <w:rFonts w:ascii="Tahoma" w:hAnsi="Tahoma" w:cs="Tahoma"/>
          <w:sz w:val="22"/>
          <w:szCs w:val="22"/>
        </w:rPr>
        <w:t>ΜμΕ</w:t>
      </w:r>
      <w:proofErr w:type="spellEnd"/>
      <w:r w:rsidRPr="00605F53">
        <w:rPr>
          <w:rFonts w:ascii="Tahoma" w:hAnsi="Tahoma" w:cs="Tahoma"/>
          <w:sz w:val="22"/>
          <w:szCs w:val="22"/>
        </w:rPr>
        <w:t xml:space="preserve"> η δημιουργία μιας τράπεζας μικρομεσαίων επιχειρ</w:t>
      </w:r>
      <w:r w:rsidR="00605F53" w:rsidRPr="00605F53">
        <w:rPr>
          <w:rFonts w:ascii="Tahoma" w:hAnsi="Tahoma" w:cs="Tahoma"/>
          <w:sz w:val="22"/>
          <w:szCs w:val="22"/>
        </w:rPr>
        <w:t>ήσεων, καθ</w:t>
      </w:r>
      <w:r w:rsidR="00DE642F">
        <w:rPr>
          <w:rFonts w:ascii="Tahoma" w:hAnsi="Tahoma" w:cs="Tahoma"/>
          <w:sz w:val="22"/>
          <w:szCs w:val="22"/>
        </w:rPr>
        <w:t>ώς το 73% αξιολογεί ως σημαντική</w:t>
      </w:r>
      <w:r w:rsidR="00605F53" w:rsidRPr="00605F53">
        <w:rPr>
          <w:rFonts w:ascii="Tahoma" w:hAnsi="Tahoma" w:cs="Tahoma"/>
          <w:sz w:val="22"/>
          <w:szCs w:val="22"/>
        </w:rPr>
        <w:t xml:space="preserve"> την εν λόγω παρέμβαση. Το 33,1% θεωρεί ότι πρέπει να αποτελέσει προτεραιότητα της νέας κυβέρνησης η άμεση εφαρμογή αυτής της εξαγγελίας, ενώ το 40,3% αξιολογεί το μέτρο ως πολύ σημαντικό.</w:t>
      </w:r>
      <w:r w:rsidR="00605F53">
        <w:rPr>
          <w:rFonts w:ascii="Tahoma" w:hAnsi="Tahoma" w:cs="Tahoma"/>
          <w:sz w:val="22"/>
          <w:szCs w:val="22"/>
        </w:rPr>
        <w:t xml:space="preserve"> Τα σημαντικά προβλήματα ρευστότητας και η ανυπαρξία εργαλείων για δράσεις </w:t>
      </w:r>
      <w:proofErr w:type="spellStart"/>
      <w:r w:rsidR="00605F53">
        <w:rPr>
          <w:rFonts w:ascii="Tahoma" w:hAnsi="Tahoma" w:cs="Tahoma"/>
          <w:sz w:val="22"/>
          <w:szCs w:val="22"/>
        </w:rPr>
        <w:t>μικροχρηματοδότησης</w:t>
      </w:r>
      <w:proofErr w:type="spellEnd"/>
      <w:r w:rsidR="00605F53">
        <w:rPr>
          <w:rFonts w:ascii="Tahoma" w:hAnsi="Tahoma" w:cs="Tahoma"/>
          <w:sz w:val="22"/>
          <w:szCs w:val="22"/>
        </w:rPr>
        <w:t xml:space="preserve"> </w:t>
      </w:r>
      <w:proofErr w:type="spellStart"/>
      <w:r w:rsidR="00605F53">
        <w:rPr>
          <w:rFonts w:ascii="Tahoma" w:hAnsi="Tahoma" w:cs="Tahoma"/>
          <w:sz w:val="22"/>
          <w:szCs w:val="22"/>
        </w:rPr>
        <w:t>στοχευμένες</w:t>
      </w:r>
      <w:proofErr w:type="spellEnd"/>
      <w:r w:rsidR="00605F53">
        <w:rPr>
          <w:rFonts w:ascii="Tahoma" w:hAnsi="Tahoma" w:cs="Tahoma"/>
          <w:sz w:val="22"/>
          <w:szCs w:val="22"/>
        </w:rPr>
        <w:t xml:space="preserve"> στις ανάγκες των ελληνικών </w:t>
      </w:r>
      <w:proofErr w:type="spellStart"/>
      <w:r w:rsidR="00605F53">
        <w:rPr>
          <w:rFonts w:ascii="Tahoma" w:hAnsi="Tahoma" w:cs="Tahoma"/>
          <w:sz w:val="22"/>
          <w:szCs w:val="22"/>
        </w:rPr>
        <w:t>ΜμΕ</w:t>
      </w:r>
      <w:proofErr w:type="spellEnd"/>
      <w:r w:rsidR="00605F53">
        <w:rPr>
          <w:rFonts w:ascii="Tahoma" w:hAnsi="Tahoma" w:cs="Tahoma"/>
          <w:sz w:val="22"/>
          <w:szCs w:val="22"/>
        </w:rPr>
        <w:t xml:space="preserve"> προσδιορίζουν και το σημαντικό βαθμό αποδοχής αυτού του μέτρου.</w:t>
      </w:r>
      <w:r w:rsidR="00605F53" w:rsidRPr="00605F53">
        <w:rPr>
          <w:rFonts w:ascii="Tahoma" w:hAnsi="Tahoma" w:cs="Tahoma"/>
          <w:sz w:val="22"/>
          <w:szCs w:val="22"/>
        </w:rPr>
        <w:t xml:space="preserve">  </w:t>
      </w:r>
    </w:p>
    <w:p w:rsidR="006E45EE" w:rsidRPr="0017088F" w:rsidRDefault="003677EE" w:rsidP="00605F53">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605F53">
        <w:rPr>
          <w:rFonts w:ascii="Tahoma" w:hAnsi="Tahoma" w:cs="Tahoma"/>
          <w:color w:val="FF0000"/>
          <w:sz w:val="22"/>
          <w:szCs w:val="22"/>
        </w:rPr>
        <w:t xml:space="preserve"> </w:t>
      </w:r>
    </w:p>
    <w:p w:rsidR="00490F37" w:rsidRPr="006642E5" w:rsidRDefault="00512E98" w:rsidP="00512E98">
      <w:pPr>
        <w:pStyle w:val="aa"/>
        <w:pBdr>
          <w:top w:val="single" w:sz="4" w:space="1" w:color="auto"/>
          <w:left w:val="single" w:sz="4" w:space="4" w:color="auto"/>
          <w:bottom w:val="single" w:sz="4" w:space="1" w:color="auto"/>
          <w:right w:val="single" w:sz="4" w:space="4" w:color="auto"/>
        </w:pBdr>
        <w:ind w:left="0"/>
        <w:jc w:val="both"/>
        <w:rPr>
          <w:rFonts w:ascii="Tahoma" w:hAnsi="Tahoma" w:cs="Tahoma"/>
          <w:b/>
          <w:sz w:val="22"/>
          <w:szCs w:val="22"/>
          <w:lang w:val="en-US"/>
        </w:rPr>
      </w:pPr>
      <w:r w:rsidRPr="0017088F">
        <w:rPr>
          <w:rFonts w:ascii="Tahoma" w:hAnsi="Tahoma" w:cs="Tahoma"/>
          <w:b/>
          <w:sz w:val="22"/>
          <w:szCs w:val="22"/>
        </w:rPr>
        <w:t>ΣΤ. ΕΙΔΙΚΟ ΘΕΜΑ- ΠΟΛΙΤΙΚΗ ΚΑΤΑΣΤΑΣΗ</w:t>
      </w:r>
      <w:bookmarkStart w:id="0" w:name="_GoBack"/>
      <w:bookmarkEnd w:id="0"/>
    </w:p>
    <w:p w:rsidR="006642E5" w:rsidRPr="006642E5" w:rsidRDefault="005347AD" w:rsidP="006642E5">
      <w:pPr>
        <w:pStyle w:val="aa"/>
        <w:numPr>
          <w:ilvl w:val="0"/>
          <w:numId w:val="20"/>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Pr>
          <w:rFonts w:ascii="Tahoma" w:hAnsi="Tahoma" w:cs="Tahoma"/>
          <w:sz w:val="22"/>
          <w:szCs w:val="22"/>
        </w:rPr>
        <w:t xml:space="preserve">Αναφορικά με την </w:t>
      </w:r>
      <w:r w:rsidR="005A474C">
        <w:rPr>
          <w:rFonts w:ascii="Tahoma" w:hAnsi="Tahoma" w:cs="Tahoma"/>
          <w:sz w:val="22"/>
          <w:szCs w:val="22"/>
        </w:rPr>
        <w:t>αποτύπωση του πολιτικού κλίματος</w:t>
      </w:r>
      <w:r w:rsidR="00605F53" w:rsidRPr="0017088F">
        <w:rPr>
          <w:rFonts w:ascii="Tahoma" w:hAnsi="Tahoma" w:cs="Tahoma"/>
          <w:sz w:val="22"/>
          <w:szCs w:val="22"/>
        </w:rPr>
        <w:t xml:space="preserve">, η </w:t>
      </w:r>
      <w:r w:rsidR="005A474C">
        <w:rPr>
          <w:rFonts w:ascii="Tahoma" w:hAnsi="Tahoma" w:cs="Tahoma"/>
          <w:sz w:val="22"/>
          <w:szCs w:val="22"/>
        </w:rPr>
        <w:t xml:space="preserve">νέα </w:t>
      </w:r>
      <w:r w:rsidR="00605F53" w:rsidRPr="0017088F">
        <w:rPr>
          <w:rFonts w:ascii="Tahoma" w:hAnsi="Tahoma" w:cs="Tahoma"/>
          <w:sz w:val="22"/>
          <w:szCs w:val="22"/>
        </w:rPr>
        <w:t xml:space="preserve">κυβέρνηση φαίνεται να χαίρει της εμπιστοσύνης </w:t>
      </w:r>
      <w:r w:rsidR="005A474C">
        <w:rPr>
          <w:rFonts w:ascii="Tahoma" w:hAnsi="Tahoma" w:cs="Tahoma"/>
          <w:sz w:val="22"/>
          <w:szCs w:val="22"/>
        </w:rPr>
        <w:t>των μικρών επιχειρήσεων</w:t>
      </w:r>
      <w:r w:rsidR="0017088F" w:rsidRPr="0017088F">
        <w:rPr>
          <w:rFonts w:ascii="Tahoma" w:hAnsi="Tahoma" w:cs="Tahoma"/>
          <w:sz w:val="22"/>
          <w:szCs w:val="22"/>
        </w:rPr>
        <w:t xml:space="preserve"> (το 44,1% είναι </w:t>
      </w:r>
      <w:r w:rsidRPr="0017088F">
        <w:rPr>
          <w:rFonts w:ascii="Tahoma" w:hAnsi="Tahoma" w:cs="Tahoma"/>
          <w:sz w:val="22"/>
          <w:szCs w:val="22"/>
        </w:rPr>
        <w:t>περισσότερο</w:t>
      </w:r>
      <w:r w:rsidR="0017088F" w:rsidRPr="0017088F">
        <w:rPr>
          <w:rFonts w:ascii="Tahoma" w:hAnsi="Tahoma" w:cs="Tahoma"/>
          <w:sz w:val="22"/>
          <w:szCs w:val="22"/>
        </w:rPr>
        <w:t xml:space="preserve"> αισιόδοξοι για την πορεία </w:t>
      </w:r>
      <w:r w:rsidR="006642E5">
        <w:rPr>
          <w:rFonts w:ascii="Tahoma" w:hAnsi="Tahoma" w:cs="Tahoma"/>
          <w:sz w:val="22"/>
          <w:szCs w:val="22"/>
        </w:rPr>
        <w:t>της</w:t>
      </w:r>
    </w:p>
    <w:p w:rsidR="0062573C" w:rsidRDefault="0017088F" w:rsidP="00350FAB">
      <w:pPr>
        <w:pBdr>
          <w:top w:val="single" w:sz="4" w:space="1" w:color="auto"/>
          <w:left w:val="single" w:sz="4" w:space="4" w:color="auto"/>
          <w:bottom w:val="single" w:sz="4" w:space="1" w:color="auto"/>
          <w:right w:val="single" w:sz="4" w:space="4" w:color="auto"/>
        </w:pBdr>
        <w:tabs>
          <w:tab w:val="left" w:pos="426"/>
        </w:tabs>
        <w:ind w:firstLine="426"/>
        <w:jc w:val="both"/>
        <w:rPr>
          <w:rFonts w:ascii="Tahoma" w:hAnsi="Tahoma" w:cs="Tahoma"/>
          <w:sz w:val="22"/>
          <w:szCs w:val="22"/>
        </w:rPr>
      </w:pPr>
      <w:r w:rsidRPr="00520B31">
        <w:rPr>
          <w:rFonts w:ascii="Tahoma" w:hAnsi="Tahoma" w:cs="Tahoma"/>
          <w:sz w:val="22"/>
          <w:szCs w:val="22"/>
        </w:rPr>
        <w:lastRenderedPageBreak/>
        <w:t xml:space="preserve">επιχείρησης). Το παραπάνω συναρτάται </w:t>
      </w:r>
      <w:r w:rsidR="005A474C" w:rsidRPr="00520B31">
        <w:rPr>
          <w:rFonts w:ascii="Tahoma" w:hAnsi="Tahoma" w:cs="Tahoma"/>
          <w:sz w:val="22"/>
          <w:szCs w:val="22"/>
        </w:rPr>
        <w:t>ασφαλώς</w:t>
      </w:r>
      <w:r w:rsidRPr="00520B31">
        <w:rPr>
          <w:rFonts w:ascii="Tahoma" w:hAnsi="Tahoma" w:cs="Tahoma"/>
          <w:sz w:val="22"/>
          <w:szCs w:val="22"/>
        </w:rPr>
        <w:t xml:space="preserve"> με τη δυνατότητα της κυβέρνησης να </w:t>
      </w:r>
      <w:r w:rsidR="00520B31">
        <w:rPr>
          <w:rFonts w:ascii="Tahoma" w:hAnsi="Tahoma" w:cs="Tahoma"/>
          <w:sz w:val="22"/>
          <w:szCs w:val="22"/>
        </w:rPr>
        <w:t xml:space="preserve">κάνει </w:t>
      </w:r>
      <w:r w:rsidR="00350FAB">
        <w:rPr>
          <w:rFonts w:ascii="Tahoma" w:hAnsi="Tahoma" w:cs="Tahoma"/>
          <w:sz w:val="22"/>
          <w:szCs w:val="22"/>
        </w:rPr>
        <w:tab/>
      </w:r>
      <w:r w:rsidR="005A474C" w:rsidRPr="00520B31">
        <w:rPr>
          <w:rFonts w:ascii="Tahoma" w:hAnsi="Tahoma" w:cs="Tahoma"/>
          <w:sz w:val="22"/>
          <w:szCs w:val="22"/>
        </w:rPr>
        <w:t xml:space="preserve">παρεμβάσεις στο εσωτερικό που θα οδηγήσουν σε αναπτυξιακή τροχιά και στο διεθνές </w:t>
      </w:r>
      <w:r w:rsidR="00350FAB">
        <w:rPr>
          <w:rFonts w:ascii="Tahoma" w:hAnsi="Tahoma" w:cs="Tahoma"/>
          <w:sz w:val="22"/>
          <w:szCs w:val="22"/>
        </w:rPr>
        <w:tab/>
      </w:r>
      <w:r w:rsidR="005A474C" w:rsidRPr="00520B31">
        <w:rPr>
          <w:rFonts w:ascii="Tahoma" w:hAnsi="Tahoma" w:cs="Tahoma"/>
          <w:sz w:val="22"/>
          <w:szCs w:val="22"/>
        </w:rPr>
        <w:t>περιβάλλον</w:t>
      </w:r>
      <w:r w:rsidR="00356BAD" w:rsidRPr="00520B31">
        <w:rPr>
          <w:rFonts w:ascii="Tahoma" w:hAnsi="Tahoma" w:cs="Tahoma"/>
          <w:sz w:val="22"/>
          <w:szCs w:val="22"/>
        </w:rPr>
        <w:t xml:space="preserve"> </w:t>
      </w:r>
      <w:r w:rsidR="005A474C" w:rsidRPr="00356BAD">
        <w:rPr>
          <w:rFonts w:ascii="Tahoma" w:hAnsi="Tahoma" w:cs="Tahoma"/>
          <w:sz w:val="22"/>
          <w:szCs w:val="22"/>
        </w:rPr>
        <w:t xml:space="preserve">να </w:t>
      </w:r>
      <w:r w:rsidRPr="00356BAD">
        <w:rPr>
          <w:rFonts w:ascii="Tahoma" w:hAnsi="Tahoma" w:cs="Tahoma"/>
          <w:sz w:val="22"/>
          <w:szCs w:val="22"/>
        </w:rPr>
        <w:t>οδηγήσει τη χώρα σε ένα «έντιμο συμβιβασμό» με τους ετ</w:t>
      </w:r>
      <w:r w:rsidR="00356BAD" w:rsidRPr="00356BAD">
        <w:rPr>
          <w:rFonts w:ascii="Tahoma" w:hAnsi="Tahoma" w:cs="Tahoma"/>
          <w:sz w:val="22"/>
          <w:szCs w:val="22"/>
        </w:rPr>
        <w:t xml:space="preserve">αίρους. Το 57,3% </w:t>
      </w:r>
      <w:r w:rsidR="00350FAB">
        <w:rPr>
          <w:rFonts w:ascii="Tahoma" w:hAnsi="Tahoma" w:cs="Tahoma"/>
          <w:sz w:val="22"/>
          <w:szCs w:val="22"/>
        </w:rPr>
        <w:tab/>
      </w:r>
      <w:r w:rsidR="00356BAD" w:rsidRPr="00356BAD">
        <w:rPr>
          <w:rFonts w:ascii="Tahoma" w:hAnsi="Tahoma" w:cs="Tahoma"/>
          <w:sz w:val="22"/>
          <w:szCs w:val="22"/>
        </w:rPr>
        <w:t xml:space="preserve">άλλωστε θεωρεί </w:t>
      </w:r>
      <w:r w:rsidRPr="00356BAD">
        <w:rPr>
          <w:rFonts w:ascii="Tahoma" w:hAnsi="Tahoma" w:cs="Tahoma"/>
          <w:sz w:val="22"/>
          <w:szCs w:val="22"/>
        </w:rPr>
        <w:t xml:space="preserve">ότι αυτή θα πρέπει να είναι η </w:t>
      </w:r>
      <w:r w:rsidR="005347AD" w:rsidRPr="00356BAD">
        <w:rPr>
          <w:rFonts w:ascii="Tahoma" w:hAnsi="Tahoma" w:cs="Tahoma"/>
          <w:sz w:val="22"/>
          <w:szCs w:val="22"/>
        </w:rPr>
        <w:t>διαπραγματευτική</w:t>
      </w:r>
      <w:r w:rsidRPr="00356BAD">
        <w:rPr>
          <w:rFonts w:ascii="Tahoma" w:hAnsi="Tahoma" w:cs="Tahoma"/>
          <w:sz w:val="22"/>
          <w:szCs w:val="22"/>
        </w:rPr>
        <w:t xml:space="preserve"> τακτική της κυβέρνησης</w:t>
      </w:r>
      <w:r w:rsidR="003340C0" w:rsidRPr="00356BAD">
        <w:rPr>
          <w:rFonts w:ascii="Tahoma" w:hAnsi="Tahoma" w:cs="Tahoma"/>
          <w:sz w:val="22"/>
          <w:szCs w:val="22"/>
        </w:rPr>
        <w:t>.</w:t>
      </w:r>
    </w:p>
    <w:p w:rsidR="00490F37" w:rsidRPr="00356BAD" w:rsidRDefault="00490F37" w:rsidP="00350FAB">
      <w:pPr>
        <w:pBdr>
          <w:top w:val="single" w:sz="4" w:space="1" w:color="auto"/>
          <w:left w:val="single" w:sz="4" w:space="4" w:color="auto"/>
          <w:bottom w:val="single" w:sz="4" w:space="1" w:color="auto"/>
          <w:right w:val="single" w:sz="4" w:space="4" w:color="auto"/>
        </w:pBdr>
        <w:tabs>
          <w:tab w:val="left" w:pos="426"/>
        </w:tabs>
        <w:ind w:firstLine="426"/>
        <w:jc w:val="both"/>
        <w:rPr>
          <w:rFonts w:ascii="Tahoma" w:hAnsi="Tahoma" w:cs="Tahoma"/>
          <w:sz w:val="22"/>
          <w:szCs w:val="22"/>
        </w:rPr>
      </w:pPr>
    </w:p>
    <w:p w:rsidR="005347AD" w:rsidRPr="00356BAD" w:rsidRDefault="0017088F" w:rsidP="00356BAD">
      <w:pPr>
        <w:pStyle w:val="aa"/>
        <w:numPr>
          <w:ilvl w:val="0"/>
          <w:numId w:val="20"/>
        </w:numPr>
        <w:pBdr>
          <w:top w:val="single" w:sz="4" w:space="1" w:color="auto"/>
          <w:left w:val="single" w:sz="4" w:space="4" w:color="auto"/>
          <w:bottom w:val="single" w:sz="4" w:space="1" w:color="auto"/>
          <w:right w:val="single" w:sz="4" w:space="4" w:color="auto"/>
        </w:pBdr>
        <w:ind w:left="426" w:hanging="426"/>
        <w:jc w:val="both"/>
        <w:rPr>
          <w:rFonts w:ascii="Tahoma" w:hAnsi="Tahoma" w:cs="Tahoma"/>
          <w:sz w:val="22"/>
          <w:szCs w:val="22"/>
        </w:rPr>
      </w:pPr>
      <w:r w:rsidRPr="00356BAD">
        <w:rPr>
          <w:rFonts w:ascii="Tahoma" w:hAnsi="Tahoma" w:cs="Tahoma"/>
          <w:sz w:val="22"/>
          <w:szCs w:val="22"/>
        </w:rPr>
        <w:t>Από τα σημαντικότερα και πιο επείγοντα προβλήματα που καλείται να λύσει άμεσα η νέα κυβέρνηση είναι η μείωση της υψηλής φορολογίας, η ρύθμιση των ασφαλιστικών και φορολογικών οφειλών, καθώς και η διαχείριση της πολιτικής πιστώσεων (αναχρηματοδότηση- ρύθμιση παλαιών δανείων, πρόσβαση σε ρευστότητα).</w:t>
      </w:r>
    </w:p>
    <w:p w:rsidR="005A474C" w:rsidRDefault="005A474C" w:rsidP="00A05F2C">
      <w:pPr>
        <w:jc w:val="both"/>
        <w:rPr>
          <w:rFonts w:ascii="Tahoma" w:hAnsi="Tahoma" w:cs="Tahoma"/>
          <w:sz w:val="20"/>
          <w:szCs w:val="20"/>
        </w:rPr>
      </w:pPr>
    </w:p>
    <w:p w:rsidR="00C02A62" w:rsidRPr="00E131A2" w:rsidRDefault="004F3707" w:rsidP="00A05F2C">
      <w:pPr>
        <w:jc w:val="both"/>
        <w:rPr>
          <w:rFonts w:ascii="Tahoma" w:hAnsi="Tahoma" w:cs="Tahoma"/>
          <w:b/>
          <w:i/>
          <w:sz w:val="20"/>
          <w:szCs w:val="20"/>
        </w:rPr>
      </w:pPr>
      <w:r>
        <w:rPr>
          <w:rFonts w:ascii="Tahoma" w:hAnsi="Tahoma" w:cs="Tahoma"/>
          <w:sz w:val="20"/>
          <w:szCs w:val="20"/>
        </w:rPr>
        <w:t xml:space="preserve">* </w:t>
      </w:r>
      <w:r w:rsidR="00C02A62" w:rsidRPr="00E131A2">
        <w:rPr>
          <w:rFonts w:ascii="Tahoma" w:hAnsi="Tahoma" w:cs="Tahoma"/>
          <w:i/>
          <w:sz w:val="20"/>
          <w:szCs w:val="20"/>
        </w:rPr>
        <w:t xml:space="preserve">Η έρευνα που παρουσιάζεται είναι η </w:t>
      </w:r>
      <w:r w:rsidR="004B04BD">
        <w:rPr>
          <w:rFonts w:ascii="Tahoma" w:hAnsi="Tahoma" w:cs="Tahoma"/>
          <w:b/>
          <w:i/>
          <w:sz w:val="20"/>
          <w:szCs w:val="20"/>
        </w:rPr>
        <w:t xml:space="preserve">πρώτη </w:t>
      </w:r>
      <w:r w:rsidR="00C02A62" w:rsidRPr="00E131A2">
        <w:rPr>
          <w:rFonts w:ascii="Tahoma" w:hAnsi="Tahoma" w:cs="Tahoma"/>
          <w:b/>
          <w:i/>
          <w:sz w:val="20"/>
          <w:szCs w:val="20"/>
        </w:rPr>
        <w:t xml:space="preserve"> </w:t>
      </w:r>
      <w:r w:rsidR="004B04BD">
        <w:rPr>
          <w:rFonts w:ascii="Tahoma" w:hAnsi="Tahoma" w:cs="Tahoma"/>
          <w:i/>
          <w:sz w:val="20"/>
          <w:szCs w:val="20"/>
        </w:rPr>
        <w:t>για το 2015</w:t>
      </w:r>
      <w:r w:rsidR="00C02A62" w:rsidRPr="00E131A2">
        <w:rPr>
          <w:rFonts w:ascii="Tahoma" w:hAnsi="Tahoma" w:cs="Tahoma"/>
          <w:i/>
          <w:sz w:val="20"/>
          <w:szCs w:val="20"/>
        </w:rPr>
        <w:t xml:space="preserve"> που διεξάγει το Ινστιτούτο Μικρών Επιχειρήσεων της ΓΣΕΒΕΕ σε συνεργασία με την εταιρία </w:t>
      </w:r>
      <w:r w:rsidR="00C02A62" w:rsidRPr="00E131A2">
        <w:rPr>
          <w:rFonts w:ascii="Tahoma" w:hAnsi="Tahoma" w:cs="Tahoma"/>
          <w:i/>
          <w:sz w:val="20"/>
          <w:szCs w:val="20"/>
          <w:lang w:val="en-US"/>
        </w:rPr>
        <w:t>MARC</w:t>
      </w:r>
      <w:r w:rsidR="00C02A62" w:rsidRPr="00E131A2">
        <w:rPr>
          <w:rFonts w:ascii="Tahoma" w:hAnsi="Tahoma" w:cs="Tahoma"/>
          <w:i/>
          <w:sz w:val="20"/>
          <w:szCs w:val="20"/>
        </w:rPr>
        <w:t xml:space="preserve"> </w:t>
      </w:r>
      <w:r w:rsidR="00C02A62" w:rsidRPr="00E131A2">
        <w:rPr>
          <w:rFonts w:ascii="Tahoma" w:hAnsi="Tahoma" w:cs="Tahoma"/>
          <w:i/>
          <w:sz w:val="20"/>
          <w:szCs w:val="20"/>
          <w:lang w:val="en-US"/>
        </w:rPr>
        <w:t>AE</w:t>
      </w:r>
      <w:r w:rsidR="00C02A62" w:rsidRPr="00E131A2">
        <w:rPr>
          <w:rFonts w:ascii="Tahoma" w:hAnsi="Tahoma" w:cs="Tahoma"/>
          <w:i/>
          <w:sz w:val="20"/>
          <w:szCs w:val="20"/>
        </w:rPr>
        <w:t xml:space="preserve"> σε εξαμηνιαία βάση από τον Μάιο του 2009. Έγινε σε πανελλαδικό δείγμα </w:t>
      </w:r>
      <w:r w:rsidR="00C02A62" w:rsidRPr="00E131A2">
        <w:rPr>
          <w:rFonts w:ascii="Tahoma" w:hAnsi="Tahoma" w:cs="Tahoma"/>
          <w:b/>
          <w:i/>
          <w:sz w:val="20"/>
          <w:szCs w:val="20"/>
        </w:rPr>
        <w:t>1</w:t>
      </w:r>
      <w:r w:rsidR="00CE38CF">
        <w:rPr>
          <w:rFonts w:ascii="Tahoma" w:hAnsi="Tahoma" w:cs="Tahoma"/>
          <w:b/>
          <w:i/>
          <w:sz w:val="20"/>
          <w:szCs w:val="20"/>
        </w:rPr>
        <w:t>0</w:t>
      </w:r>
      <w:r w:rsidR="004B04BD">
        <w:rPr>
          <w:rFonts w:ascii="Tahoma" w:hAnsi="Tahoma" w:cs="Tahoma"/>
          <w:b/>
          <w:i/>
          <w:sz w:val="20"/>
          <w:szCs w:val="20"/>
        </w:rPr>
        <w:t>09</w:t>
      </w:r>
      <w:r w:rsidR="00C02A62" w:rsidRPr="00E131A2">
        <w:rPr>
          <w:rFonts w:ascii="Tahoma" w:hAnsi="Tahoma" w:cs="Tahoma"/>
          <w:i/>
          <w:sz w:val="20"/>
          <w:szCs w:val="20"/>
        </w:rPr>
        <w:t xml:space="preserve"> πολύ μικρών και μικρών επιχειρήσεων (0-49 άτομα προσωπικό), στο διάστημα </w:t>
      </w:r>
      <w:r w:rsidR="004B04BD">
        <w:rPr>
          <w:rFonts w:ascii="Tahoma" w:hAnsi="Tahoma" w:cs="Tahoma"/>
          <w:i/>
          <w:sz w:val="20"/>
          <w:szCs w:val="20"/>
        </w:rPr>
        <w:t>17</w:t>
      </w:r>
      <w:r w:rsidR="00CE38CF">
        <w:rPr>
          <w:rFonts w:ascii="Tahoma" w:hAnsi="Tahoma" w:cs="Tahoma"/>
          <w:i/>
          <w:sz w:val="20"/>
          <w:szCs w:val="20"/>
        </w:rPr>
        <w:t xml:space="preserve">  έως </w:t>
      </w:r>
      <w:r w:rsidR="004B04BD">
        <w:rPr>
          <w:rFonts w:ascii="Tahoma" w:hAnsi="Tahoma" w:cs="Tahoma"/>
          <w:i/>
          <w:sz w:val="20"/>
          <w:szCs w:val="20"/>
        </w:rPr>
        <w:t>26</w:t>
      </w:r>
      <w:r w:rsidR="00CE38CF">
        <w:rPr>
          <w:rFonts w:ascii="Tahoma" w:hAnsi="Tahoma" w:cs="Tahoma"/>
          <w:i/>
          <w:sz w:val="20"/>
          <w:szCs w:val="20"/>
        </w:rPr>
        <w:t xml:space="preserve"> </w:t>
      </w:r>
      <w:r w:rsidR="00C02A62" w:rsidRPr="00E131A2">
        <w:rPr>
          <w:rFonts w:ascii="Tahoma" w:hAnsi="Tahoma" w:cs="Tahoma"/>
          <w:i/>
          <w:sz w:val="20"/>
          <w:szCs w:val="20"/>
        </w:rPr>
        <w:t xml:space="preserve"> </w:t>
      </w:r>
      <w:r w:rsidR="004B04BD">
        <w:rPr>
          <w:rFonts w:ascii="Tahoma" w:hAnsi="Tahoma" w:cs="Tahoma"/>
          <w:i/>
          <w:sz w:val="20"/>
          <w:szCs w:val="20"/>
        </w:rPr>
        <w:t>Φεβρουαρ</w:t>
      </w:r>
      <w:r w:rsidR="006920BD" w:rsidRPr="00E131A2">
        <w:rPr>
          <w:rFonts w:ascii="Tahoma" w:hAnsi="Tahoma" w:cs="Tahoma"/>
          <w:i/>
          <w:sz w:val="20"/>
          <w:szCs w:val="20"/>
        </w:rPr>
        <w:t>ίου</w:t>
      </w:r>
      <w:r w:rsidR="00C02A62" w:rsidRPr="00E131A2">
        <w:rPr>
          <w:rFonts w:ascii="Tahoma" w:hAnsi="Tahoma" w:cs="Tahoma"/>
          <w:i/>
          <w:sz w:val="20"/>
          <w:szCs w:val="20"/>
        </w:rPr>
        <w:t xml:space="preserve"> 201</w:t>
      </w:r>
      <w:r w:rsidR="004B04BD">
        <w:rPr>
          <w:rFonts w:ascii="Tahoma" w:hAnsi="Tahoma" w:cs="Tahoma"/>
          <w:i/>
          <w:sz w:val="20"/>
          <w:szCs w:val="20"/>
        </w:rPr>
        <w:t>5</w:t>
      </w:r>
      <w:r w:rsidR="00C02A62" w:rsidRPr="00E131A2">
        <w:rPr>
          <w:rFonts w:ascii="Tahoma" w:hAnsi="Tahoma" w:cs="Tahoma"/>
          <w:i/>
          <w:sz w:val="20"/>
          <w:szCs w:val="20"/>
        </w:rPr>
        <w:t xml:space="preserve"> και έχει ως βασικό στόχο την </w:t>
      </w:r>
      <w:r w:rsidR="00C02A62" w:rsidRPr="00E131A2">
        <w:rPr>
          <w:rFonts w:ascii="Tahoma" w:hAnsi="Tahoma" w:cs="Tahoma"/>
          <w:b/>
          <w:i/>
          <w:sz w:val="20"/>
          <w:szCs w:val="20"/>
        </w:rPr>
        <w:t>αποτύπωση του οικονομικού κλίματος</w:t>
      </w:r>
      <w:r w:rsidR="00C02A62" w:rsidRPr="00E131A2">
        <w:rPr>
          <w:rFonts w:ascii="Tahoma" w:hAnsi="Tahoma" w:cs="Tahoma"/>
          <w:i/>
          <w:sz w:val="20"/>
          <w:szCs w:val="20"/>
        </w:rPr>
        <w:t xml:space="preserve"> στις πολύ μικρές και μικρές επιχειρήσεις, στους κλάδους της </w:t>
      </w:r>
      <w:r w:rsidR="00C02A62" w:rsidRPr="00E131A2">
        <w:rPr>
          <w:rFonts w:ascii="Tahoma" w:hAnsi="Tahoma" w:cs="Tahoma"/>
          <w:b/>
          <w:i/>
          <w:sz w:val="20"/>
          <w:szCs w:val="20"/>
        </w:rPr>
        <w:t>μεταποίησης</w:t>
      </w:r>
      <w:r w:rsidR="00C02A62" w:rsidRPr="00E131A2">
        <w:rPr>
          <w:rFonts w:ascii="Tahoma" w:hAnsi="Tahoma" w:cs="Tahoma"/>
          <w:i/>
          <w:sz w:val="20"/>
          <w:szCs w:val="20"/>
        </w:rPr>
        <w:t xml:space="preserve">, του </w:t>
      </w:r>
      <w:r w:rsidR="00C02A62" w:rsidRPr="00E131A2">
        <w:rPr>
          <w:rFonts w:ascii="Tahoma" w:hAnsi="Tahoma" w:cs="Tahoma"/>
          <w:b/>
          <w:i/>
          <w:sz w:val="20"/>
          <w:szCs w:val="20"/>
        </w:rPr>
        <w:t>εμπορίου</w:t>
      </w:r>
      <w:r w:rsidR="00C02A62" w:rsidRPr="00E131A2">
        <w:rPr>
          <w:rFonts w:ascii="Tahoma" w:hAnsi="Tahoma" w:cs="Tahoma"/>
          <w:i/>
          <w:sz w:val="20"/>
          <w:szCs w:val="20"/>
        </w:rPr>
        <w:t xml:space="preserve"> και των </w:t>
      </w:r>
      <w:r w:rsidR="00C02A62" w:rsidRPr="00E131A2">
        <w:rPr>
          <w:rFonts w:ascii="Tahoma" w:hAnsi="Tahoma" w:cs="Tahoma"/>
          <w:b/>
          <w:i/>
          <w:sz w:val="20"/>
          <w:szCs w:val="20"/>
        </w:rPr>
        <w:t>υπηρεσιών</w:t>
      </w:r>
      <w:r w:rsidR="00C02A62" w:rsidRPr="00E131A2">
        <w:rPr>
          <w:rFonts w:ascii="Tahoma" w:hAnsi="Tahoma" w:cs="Tahoma"/>
          <w:i/>
          <w:sz w:val="20"/>
          <w:szCs w:val="20"/>
        </w:rPr>
        <w:t xml:space="preserve">, </w:t>
      </w:r>
      <w:r w:rsidR="00C02A62" w:rsidRPr="00E131A2">
        <w:rPr>
          <w:rFonts w:ascii="Tahoma" w:hAnsi="Tahoma" w:cs="Tahoma"/>
          <w:b/>
          <w:i/>
          <w:sz w:val="20"/>
          <w:szCs w:val="20"/>
        </w:rPr>
        <w:t xml:space="preserve">που αποτελούν το 99,6% των επιχειρήσεων στην Ελλάδα. </w:t>
      </w:r>
      <w:r w:rsidR="00A05F2C" w:rsidRPr="00E131A2">
        <w:rPr>
          <w:rFonts w:ascii="Tahoma" w:hAnsi="Tahoma" w:cs="Tahoma"/>
          <w:b/>
          <w:i/>
          <w:sz w:val="20"/>
          <w:szCs w:val="20"/>
        </w:rPr>
        <w:t xml:space="preserve"> </w:t>
      </w:r>
      <w:r w:rsidR="00C02A62" w:rsidRPr="00E131A2">
        <w:rPr>
          <w:rFonts w:ascii="Tahoma" w:hAnsi="Tahoma" w:cs="Tahoma"/>
          <w:i/>
          <w:sz w:val="20"/>
          <w:szCs w:val="20"/>
        </w:rPr>
        <w:t>Τα ευρήματα αυτής της έρευνας μπορούν να συγκριθούν με τα αντίστοιχα των προηγούμενων ερευνών (</w:t>
      </w:r>
      <w:r w:rsidR="004B04BD">
        <w:rPr>
          <w:rFonts w:ascii="Tahoma" w:hAnsi="Tahoma" w:cs="Tahoma"/>
          <w:i/>
          <w:sz w:val="20"/>
          <w:szCs w:val="20"/>
        </w:rPr>
        <w:t>Μάιος 2009</w:t>
      </w:r>
      <w:r w:rsidR="00C02A62" w:rsidRPr="00E131A2">
        <w:rPr>
          <w:rFonts w:ascii="Tahoma" w:hAnsi="Tahoma" w:cs="Tahoma"/>
          <w:i/>
          <w:sz w:val="20"/>
          <w:szCs w:val="20"/>
        </w:rPr>
        <w:t xml:space="preserve"> – </w:t>
      </w:r>
      <w:r w:rsidR="004B04BD">
        <w:rPr>
          <w:rFonts w:ascii="Tahoma" w:hAnsi="Tahoma" w:cs="Tahoma"/>
          <w:i/>
          <w:sz w:val="20"/>
          <w:szCs w:val="20"/>
        </w:rPr>
        <w:t>Ιούλιος</w:t>
      </w:r>
      <w:r w:rsidR="00CE38CF">
        <w:rPr>
          <w:rFonts w:ascii="Tahoma" w:hAnsi="Tahoma" w:cs="Tahoma"/>
          <w:i/>
          <w:sz w:val="20"/>
          <w:szCs w:val="20"/>
        </w:rPr>
        <w:t xml:space="preserve"> 2014</w:t>
      </w:r>
      <w:r w:rsidR="00C02A62" w:rsidRPr="00E131A2">
        <w:rPr>
          <w:rFonts w:ascii="Tahoma" w:hAnsi="Tahoma" w:cs="Tahoma"/>
          <w:i/>
          <w:sz w:val="20"/>
          <w:szCs w:val="20"/>
        </w:rPr>
        <w:t xml:space="preserve">). </w:t>
      </w:r>
      <w:r w:rsidR="00C02A62" w:rsidRPr="00E131A2">
        <w:rPr>
          <w:rFonts w:ascii="Tahoma" w:hAnsi="Tahoma" w:cs="Tahoma"/>
          <w:b/>
          <w:i/>
          <w:sz w:val="20"/>
          <w:szCs w:val="20"/>
        </w:rPr>
        <w:t xml:space="preserve">Οι έρευνες αυτές αποτελούν το μοναδικό εργαλείο, σε πανελλαδικό επίπεδο, για την καταγραφή της κατάστασης και της πορείας του μεγαλύτερου τμήματος της πραγματικής οικονομίας στην Ελλάδα.  </w:t>
      </w:r>
    </w:p>
    <w:p w:rsidR="00C02A62" w:rsidRPr="00E131A2" w:rsidRDefault="00C02A62" w:rsidP="00C02A62">
      <w:pPr>
        <w:pStyle w:val="Web"/>
        <w:spacing w:before="0" w:beforeAutospacing="0" w:after="0" w:afterAutospacing="0"/>
        <w:jc w:val="both"/>
        <w:rPr>
          <w:rFonts w:ascii="Tahoma" w:hAnsi="Tahoma" w:cs="Tahoma"/>
          <w:b/>
          <w:i/>
          <w:sz w:val="20"/>
          <w:szCs w:val="20"/>
        </w:rPr>
      </w:pPr>
    </w:p>
    <w:p w:rsidR="00C02A62" w:rsidRPr="00E131A2" w:rsidRDefault="00C02A62" w:rsidP="00C02A62">
      <w:pPr>
        <w:pStyle w:val="Web"/>
        <w:spacing w:before="0" w:beforeAutospacing="0" w:after="0" w:afterAutospacing="0"/>
        <w:jc w:val="both"/>
        <w:rPr>
          <w:rFonts w:ascii="Tahoma" w:hAnsi="Tahoma" w:cs="Tahoma"/>
          <w:i/>
          <w:sz w:val="20"/>
          <w:szCs w:val="20"/>
          <w:highlight w:val="yellow"/>
        </w:rPr>
      </w:pPr>
      <w:r w:rsidRPr="00E131A2">
        <w:rPr>
          <w:rFonts w:ascii="Tahoma" w:hAnsi="Tahoma" w:cs="Tahoma"/>
          <w:i/>
          <w:sz w:val="20"/>
          <w:szCs w:val="20"/>
        </w:rPr>
        <w:t xml:space="preserve">Όπως και στις προηγούμενες έρευνες, έτσι και τώρα, υπάρχει μια σαφής καταγραφή των τάσεων του οικονομικού κλίματος καθώς και η </w:t>
      </w:r>
      <w:r w:rsidRPr="00E131A2">
        <w:rPr>
          <w:rFonts w:ascii="Tahoma" w:hAnsi="Tahoma" w:cs="Tahoma"/>
          <w:b/>
          <w:i/>
          <w:sz w:val="20"/>
          <w:szCs w:val="20"/>
        </w:rPr>
        <w:t>παρακολούθηση</w:t>
      </w:r>
      <w:r w:rsidRPr="00E131A2">
        <w:rPr>
          <w:rFonts w:ascii="Tahoma" w:hAnsi="Tahoma" w:cs="Tahoma"/>
          <w:i/>
          <w:sz w:val="20"/>
          <w:szCs w:val="20"/>
        </w:rPr>
        <w:t xml:space="preserve"> των βασικών δεικτών λειτουργίας των μικρών επιχειρήσεων κατά το </w:t>
      </w:r>
      <w:r w:rsidR="004B04BD">
        <w:rPr>
          <w:rFonts w:ascii="Tahoma" w:hAnsi="Tahoma" w:cs="Tahoma"/>
          <w:i/>
          <w:sz w:val="20"/>
          <w:szCs w:val="20"/>
        </w:rPr>
        <w:t>2</w:t>
      </w:r>
      <w:r w:rsidRPr="00E131A2">
        <w:rPr>
          <w:rFonts w:ascii="Tahoma" w:hAnsi="Tahoma" w:cs="Tahoma"/>
          <w:i/>
          <w:sz w:val="20"/>
          <w:szCs w:val="20"/>
          <w:vertAlign w:val="superscript"/>
        </w:rPr>
        <w:t>ο</w:t>
      </w:r>
      <w:r w:rsidR="00CE38CF">
        <w:rPr>
          <w:rFonts w:ascii="Tahoma" w:hAnsi="Tahoma" w:cs="Tahoma"/>
          <w:i/>
          <w:sz w:val="20"/>
          <w:szCs w:val="20"/>
        </w:rPr>
        <w:t xml:space="preserve"> εξάμηνο του 2014</w:t>
      </w:r>
      <w:r w:rsidRPr="00E131A2">
        <w:rPr>
          <w:rFonts w:ascii="Tahoma" w:hAnsi="Tahoma" w:cs="Tahoma"/>
          <w:i/>
          <w:sz w:val="20"/>
          <w:szCs w:val="20"/>
        </w:rPr>
        <w:t xml:space="preserve">, ενώ παράλληλα επιχειρείται οικονομική </w:t>
      </w:r>
      <w:r w:rsidRPr="00E131A2">
        <w:rPr>
          <w:rFonts w:ascii="Tahoma" w:hAnsi="Tahoma" w:cs="Tahoma"/>
          <w:b/>
          <w:i/>
          <w:sz w:val="20"/>
          <w:szCs w:val="20"/>
        </w:rPr>
        <w:t>πρόβλεψη</w:t>
      </w:r>
      <w:r w:rsidRPr="00E131A2">
        <w:rPr>
          <w:rFonts w:ascii="Tahoma" w:hAnsi="Tahoma" w:cs="Tahoma"/>
          <w:i/>
          <w:sz w:val="20"/>
          <w:szCs w:val="20"/>
        </w:rPr>
        <w:t xml:space="preserve"> για το </w:t>
      </w:r>
      <w:r w:rsidR="004B04BD">
        <w:rPr>
          <w:rFonts w:ascii="Tahoma" w:hAnsi="Tahoma" w:cs="Tahoma"/>
          <w:i/>
          <w:sz w:val="20"/>
          <w:szCs w:val="20"/>
        </w:rPr>
        <w:t>1</w:t>
      </w:r>
      <w:r w:rsidRPr="00E131A2">
        <w:rPr>
          <w:rFonts w:ascii="Tahoma" w:hAnsi="Tahoma" w:cs="Tahoma"/>
          <w:i/>
          <w:sz w:val="20"/>
          <w:szCs w:val="20"/>
          <w:vertAlign w:val="superscript"/>
        </w:rPr>
        <w:t>ο</w:t>
      </w:r>
      <w:r w:rsidR="004B04BD">
        <w:rPr>
          <w:rFonts w:ascii="Tahoma" w:hAnsi="Tahoma" w:cs="Tahoma"/>
          <w:i/>
          <w:sz w:val="20"/>
          <w:szCs w:val="20"/>
        </w:rPr>
        <w:t xml:space="preserve"> εξάμηνο του 2015</w:t>
      </w:r>
      <w:r w:rsidRPr="00E131A2">
        <w:rPr>
          <w:rFonts w:ascii="Tahoma" w:hAnsi="Tahoma" w:cs="Tahoma"/>
          <w:i/>
          <w:sz w:val="20"/>
          <w:szCs w:val="20"/>
        </w:rPr>
        <w:t>.</w:t>
      </w:r>
    </w:p>
    <w:p w:rsidR="00B640C8" w:rsidRPr="00834FA9" w:rsidRDefault="00B640C8" w:rsidP="00834FA9">
      <w:r>
        <w:br w:type="page"/>
      </w:r>
      <w:r w:rsidRPr="003B6F54">
        <w:rPr>
          <w:rFonts w:ascii="Arial Narrow" w:hAnsi="Arial Narrow"/>
          <w:b/>
        </w:rPr>
        <w:lastRenderedPageBreak/>
        <w:t>ΑΝΑΛΥΤΙΚΗ ΠΑΡΟΥΣΙΑΣΗ</w:t>
      </w:r>
      <w:r>
        <w:t xml:space="preserve"> </w:t>
      </w:r>
      <w:r w:rsidRPr="00B429EE">
        <w:rPr>
          <w:rFonts w:ascii="Arial Narrow" w:hAnsi="Arial Narrow"/>
          <w:b/>
        </w:rPr>
        <w:t>ΑΠΟΤΕΛΕΣΜΑΤΑ ΕΡΕΥΝΑΣ</w:t>
      </w:r>
      <w:r w:rsidRPr="00B429EE">
        <w:rPr>
          <w:rFonts w:ascii="Arial Narrow" w:hAnsi="Arial Narrow"/>
        </w:rPr>
        <w:t xml:space="preserve"> </w:t>
      </w:r>
    </w:p>
    <w:p w:rsidR="00B640C8" w:rsidRPr="008F2928" w:rsidRDefault="00B640C8" w:rsidP="008F2928">
      <w:pPr>
        <w:jc w:val="both"/>
        <w:rPr>
          <w:rFonts w:ascii="Arial Narrow" w:hAnsi="Arial Narrow"/>
        </w:rPr>
      </w:pPr>
    </w:p>
    <w:p w:rsidR="00B640C8" w:rsidRPr="008F2928" w:rsidRDefault="00B640C8" w:rsidP="00D156EE">
      <w:pPr>
        <w:numPr>
          <w:ilvl w:val="0"/>
          <w:numId w:val="1"/>
        </w:numPr>
        <w:tabs>
          <w:tab w:val="clear" w:pos="1080"/>
          <w:tab w:val="num" w:pos="360"/>
        </w:tabs>
        <w:ind w:left="360"/>
        <w:jc w:val="both"/>
        <w:rPr>
          <w:rFonts w:ascii="Arial Narrow" w:hAnsi="Arial Narrow"/>
          <w:b/>
          <w:u w:val="single"/>
        </w:rPr>
      </w:pPr>
      <w:r>
        <w:rPr>
          <w:rFonts w:ascii="Arial Narrow" w:hAnsi="Arial Narrow"/>
          <w:b/>
          <w:u w:val="single"/>
        </w:rPr>
        <w:t xml:space="preserve">ΑΠΟΤΙΜΗΣΗ </w:t>
      </w:r>
      <w:r w:rsidR="004B04BD">
        <w:rPr>
          <w:rFonts w:ascii="Arial Narrow" w:hAnsi="Arial Narrow"/>
          <w:b/>
          <w:u w:val="single"/>
        </w:rPr>
        <w:t>2</w:t>
      </w:r>
      <w:r w:rsidRPr="008F2928">
        <w:rPr>
          <w:rFonts w:ascii="Arial Narrow" w:hAnsi="Arial Narrow"/>
          <w:b/>
          <w:u w:val="single"/>
          <w:vertAlign w:val="superscript"/>
        </w:rPr>
        <w:t>ου</w:t>
      </w:r>
      <w:r w:rsidR="00CE38CF">
        <w:rPr>
          <w:rFonts w:ascii="Arial Narrow" w:hAnsi="Arial Narrow"/>
          <w:b/>
          <w:u w:val="single"/>
        </w:rPr>
        <w:t xml:space="preserve"> ΕΞΑΜΗΝΟΥ 2014</w:t>
      </w:r>
    </w:p>
    <w:p w:rsidR="00B640C8" w:rsidRPr="008F2928" w:rsidRDefault="00B640C8" w:rsidP="008F2928">
      <w:pPr>
        <w:jc w:val="both"/>
        <w:rPr>
          <w:rFonts w:ascii="Arial Narrow" w:hAnsi="Arial Narrow"/>
          <w:sz w:val="20"/>
          <w:szCs w:val="20"/>
          <w:u w:val="single"/>
        </w:rPr>
      </w:pPr>
    </w:p>
    <w:p w:rsidR="00B640C8" w:rsidRPr="008F2928" w:rsidRDefault="004B04BD" w:rsidP="008F2928">
      <w:pPr>
        <w:jc w:val="both"/>
        <w:rPr>
          <w:rFonts w:ascii="Arial Narrow" w:hAnsi="Arial Narrow"/>
        </w:rPr>
      </w:pPr>
      <w:r>
        <w:rPr>
          <w:rFonts w:ascii="Arial Narrow" w:hAnsi="Arial Narrow"/>
        </w:rPr>
        <w:t>Συνολικά, η αποτίμηση του β</w:t>
      </w:r>
      <w:r w:rsidR="00CE38CF">
        <w:rPr>
          <w:rFonts w:ascii="Arial Narrow" w:hAnsi="Arial Narrow"/>
        </w:rPr>
        <w:t>’ εξαμήνου 2014</w:t>
      </w:r>
      <w:r w:rsidR="00806CBE" w:rsidRPr="00806CBE">
        <w:rPr>
          <w:rFonts w:ascii="Arial Narrow" w:hAnsi="Arial Narrow"/>
        </w:rPr>
        <w:t xml:space="preserve"> </w:t>
      </w:r>
      <w:r w:rsidR="00806CBE">
        <w:rPr>
          <w:rFonts w:ascii="Arial Narrow" w:hAnsi="Arial Narrow"/>
        </w:rPr>
        <w:t>εξακολουθεί να είναι</w:t>
      </w:r>
      <w:r w:rsidR="00806CBE" w:rsidRPr="00806CBE">
        <w:rPr>
          <w:rFonts w:ascii="Arial Narrow" w:hAnsi="Arial Narrow"/>
        </w:rPr>
        <w:t xml:space="preserve"> αρνητική</w:t>
      </w:r>
      <w:r w:rsidR="00806CBE">
        <w:rPr>
          <w:rFonts w:ascii="Arial Narrow" w:hAnsi="Arial Narrow"/>
        </w:rPr>
        <w:t xml:space="preserve"> για όλους τους δείκτες</w:t>
      </w:r>
      <w:r w:rsidR="005347AD">
        <w:rPr>
          <w:rFonts w:ascii="Arial Narrow" w:hAnsi="Arial Narrow"/>
        </w:rPr>
        <w:t>, αν και εμφανίζονται</w:t>
      </w:r>
      <w:r w:rsidR="0031721D">
        <w:rPr>
          <w:rFonts w:ascii="Arial Narrow" w:hAnsi="Arial Narrow"/>
        </w:rPr>
        <w:t xml:space="preserve"> γενικές</w:t>
      </w:r>
      <w:r w:rsidR="005347AD">
        <w:rPr>
          <w:rFonts w:ascii="Arial Narrow" w:hAnsi="Arial Narrow"/>
        </w:rPr>
        <w:t xml:space="preserve"> τάσεις αποκλιμάκωσης</w:t>
      </w:r>
      <w:r w:rsidR="00806CBE">
        <w:rPr>
          <w:rFonts w:ascii="Arial Narrow" w:hAnsi="Arial Narrow"/>
        </w:rPr>
        <w:t>.</w:t>
      </w:r>
      <w:r w:rsidR="005347AD">
        <w:rPr>
          <w:rFonts w:ascii="Arial Narrow" w:hAnsi="Arial Narrow"/>
        </w:rPr>
        <w:t xml:space="preserve"> Το 58,6% των επιχειρήσεων</w:t>
      </w:r>
      <w:r w:rsidR="00B640C8" w:rsidRPr="008F2928">
        <w:rPr>
          <w:rFonts w:ascii="Arial Narrow" w:hAnsi="Arial Narrow"/>
          <w:b/>
        </w:rPr>
        <w:t xml:space="preserve"> </w:t>
      </w:r>
      <w:r w:rsidR="005347AD">
        <w:rPr>
          <w:rFonts w:ascii="Arial Narrow" w:hAnsi="Arial Narrow"/>
        </w:rPr>
        <w:t>καταγράφει</w:t>
      </w:r>
      <w:r w:rsidR="00B640C8" w:rsidRPr="008F2928">
        <w:rPr>
          <w:rFonts w:ascii="Arial Narrow" w:hAnsi="Arial Narrow"/>
        </w:rPr>
        <w:t xml:space="preserve"> επιδείνωση της γενι</w:t>
      </w:r>
      <w:r w:rsidR="00B640C8">
        <w:rPr>
          <w:rFonts w:ascii="Arial Narrow" w:hAnsi="Arial Narrow"/>
        </w:rPr>
        <w:t xml:space="preserve">κής οικονομικής τους κατάστασης. </w:t>
      </w:r>
      <w:r w:rsidR="005347AD">
        <w:rPr>
          <w:rFonts w:ascii="Arial Narrow" w:hAnsi="Arial Narrow"/>
        </w:rPr>
        <w:t>Μόλις 1 στις 4 επιχειρήσεις κατέγραψαν κέρδη στην επιχειρηματική δραστηριότητα</w:t>
      </w:r>
      <w:r w:rsidR="0031721D">
        <w:rPr>
          <w:rFonts w:ascii="Arial Narrow" w:hAnsi="Arial Narrow"/>
        </w:rPr>
        <w:t xml:space="preserve"> της προηγούμενης χρήσης</w:t>
      </w:r>
      <w:r w:rsidR="005347AD">
        <w:rPr>
          <w:rFonts w:ascii="Arial Narrow" w:hAnsi="Arial Narrow"/>
        </w:rPr>
        <w:t xml:space="preserve">. Σε χειρότερη κατάσταση βρίσκονται οι πολύ μικρές επιχειρήσεις (οι αρνητικές </w:t>
      </w:r>
      <w:r w:rsidR="0002595C">
        <w:rPr>
          <w:rFonts w:ascii="Arial Narrow" w:hAnsi="Arial Narrow"/>
        </w:rPr>
        <w:t>αποτιμήσεις</w:t>
      </w:r>
      <w:r w:rsidR="005347AD">
        <w:rPr>
          <w:rFonts w:ascii="Arial Narrow" w:hAnsi="Arial Narrow"/>
        </w:rPr>
        <w:t xml:space="preserve"> ανέρχονται στο 70,4%) και οι επιχειρήσεις του κλάδου του εμπορίου (αρνητικές </w:t>
      </w:r>
      <w:r w:rsidR="0002595C">
        <w:rPr>
          <w:rFonts w:ascii="Arial Narrow" w:hAnsi="Arial Narrow"/>
        </w:rPr>
        <w:t>αποτιμήσεις για το</w:t>
      </w:r>
      <w:r w:rsidR="005347AD">
        <w:rPr>
          <w:rFonts w:ascii="Arial Narrow" w:hAnsi="Arial Narrow"/>
        </w:rPr>
        <w:t xml:space="preserve"> 63,1%). </w:t>
      </w:r>
      <w:r w:rsidR="00B640C8">
        <w:rPr>
          <w:rFonts w:ascii="Arial Narrow" w:hAnsi="Arial Narrow"/>
        </w:rPr>
        <w:t>Στα επί μέρους μεγέθη των επιχειρήσεων,</w:t>
      </w:r>
      <w:r w:rsidR="00B640C8" w:rsidRPr="008F2928">
        <w:rPr>
          <w:rFonts w:ascii="Arial Narrow" w:hAnsi="Arial Narrow"/>
        </w:rPr>
        <w:t xml:space="preserve"> </w:t>
      </w:r>
      <w:r w:rsidR="00B640C8" w:rsidRPr="008F2928">
        <w:rPr>
          <w:rFonts w:ascii="Arial Narrow" w:hAnsi="Arial Narrow"/>
          <w:b/>
        </w:rPr>
        <w:t>επιδείνωση</w:t>
      </w:r>
      <w:r w:rsidR="00B640C8">
        <w:rPr>
          <w:rFonts w:ascii="Arial Narrow" w:hAnsi="Arial Narrow"/>
        </w:rPr>
        <w:t xml:space="preserve"> σημειώνεται</w:t>
      </w:r>
      <w:r w:rsidR="00B640C8" w:rsidRPr="008F2928">
        <w:rPr>
          <w:rFonts w:ascii="Arial Narrow" w:hAnsi="Arial Narrow"/>
        </w:rPr>
        <w:t>:</w:t>
      </w:r>
    </w:p>
    <w:p w:rsidR="00B640C8" w:rsidRPr="00A50B2F" w:rsidRDefault="0082476B" w:rsidP="00D156EE">
      <w:pPr>
        <w:numPr>
          <w:ilvl w:val="0"/>
          <w:numId w:val="2"/>
        </w:numPr>
        <w:jc w:val="both"/>
        <w:rPr>
          <w:rFonts w:ascii="Arial Narrow" w:hAnsi="Arial Narrow"/>
          <w:b/>
        </w:rPr>
      </w:pPr>
      <w:r>
        <w:rPr>
          <w:rFonts w:ascii="Arial Narrow" w:hAnsi="Arial Narrow"/>
          <w:b/>
        </w:rPr>
        <w:t>στον κύκλ</w:t>
      </w:r>
      <w:r w:rsidR="005347AD">
        <w:rPr>
          <w:rFonts w:ascii="Arial Narrow" w:hAnsi="Arial Narrow"/>
          <w:b/>
        </w:rPr>
        <w:t>ο εργασιών για το 53,2</w:t>
      </w:r>
      <w:r w:rsidR="00B640C8" w:rsidRPr="00A50B2F">
        <w:rPr>
          <w:rFonts w:ascii="Arial Narrow" w:hAnsi="Arial Narrow"/>
          <w:b/>
        </w:rPr>
        <w:t>% των επιχειρήσεων</w:t>
      </w:r>
    </w:p>
    <w:p w:rsidR="00B640C8" w:rsidRPr="00A50B2F" w:rsidRDefault="005347AD" w:rsidP="00D156EE">
      <w:pPr>
        <w:numPr>
          <w:ilvl w:val="0"/>
          <w:numId w:val="2"/>
        </w:numPr>
        <w:jc w:val="both"/>
        <w:rPr>
          <w:rFonts w:ascii="Arial Narrow" w:hAnsi="Arial Narrow"/>
          <w:b/>
        </w:rPr>
      </w:pPr>
      <w:r>
        <w:rPr>
          <w:rFonts w:ascii="Arial Narrow" w:hAnsi="Arial Narrow"/>
          <w:b/>
        </w:rPr>
        <w:t>στη ζήτηση για το 55,2</w:t>
      </w:r>
      <w:r w:rsidR="00B640C8" w:rsidRPr="00A50B2F">
        <w:rPr>
          <w:rFonts w:ascii="Arial Narrow" w:hAnsi="Arial Narrow"/>
          <w:b/>
        </w:rPr>
        <w:t xml:space="preserve">% </w:t>
      </w:r>
    </w:p>
    <w:p w:rsidR="00B640C8" w:rsidRPr="00A50B2F" w:rsidRDefault="00B640C8" w:rsidP="00D156EE">
      <w:pPr>
        <w:numPr>
          <w:ilvl w:val="0"/>
          <w:numId w:val="2"/>
        </w:numPr>
        <w:jc w:val="both"/>
        <w:rPr>
          <w:rFonts w:ascii="Arial Narrow" w:hAnsi="Arial Narrow"/>
          <w:b/>
        </w:rPr>
      </w:pPr>
      <w:r w:rsidRPr="00A50B2F">
        <w:rPr>
          <w:rFonts w:ascii="Arial Narrow" w:hAnsi="Arial Narrow"/>
          <w:b/>
        </w:rPr>
        <w:t xml:space="preserve">στη ρευστότητα το </w:t>
      </w:r>
      <w:r w:rsidR="005347AD">
        <w:rPr>
          <w:rFonts w:ascii="Arial Narrow" w:hAnsi="Arial Narrow"/>
          <w:b/>
        </w:rPr>
        <w:t>62,4</w:t>
      </w:r>
      <w:r w:rsidRPr="00A50B2F">
        <w:rPr>
          <w:rFonts w:ascii="Arial Narrow" w:hAnsi="Arial Narrow"/>
          <w:b/>
        </w:rPr>
        <w:t>%</w:t>
      </w:r>
    </w:p>
    <w:p w:rsidR="00B640C8" w:rsidRPr="00A50B2F" w:rsidRDefault="005347AD" w:rsidP="00D156EE">
      <w:pPr>
        <w:numPr>
          <w:ilvl w:val="0"/>
          <w:numId w:val="2"/>
        </w:numPr>
        <w:jc w:val="both"/>
        <w:rPr>
          <w:rFonts w:ascii="Arial Narrow" w:hAnsi="Arial Narrow"/>
          <w:b/>
        </w:rPr>
      </w:pPr>
      <w:r>
        <w:rPr>
          <w:rFonts w:ascii="Arial Narrow" w:hAnsi="Arial Narrow"/>
          <w:b/>
        </w:rPr>
        <w:t>στις παραγγελίες το 58,9</w:t>
      </w:r>
      <w:r w:rsidR="00B640C8" w:rsidRPr="00A50B2F">
        <w:rPr>
          <w:rFonts w:ascii="Arial Narrow" w:hAnsi="Arial Narrow"/>
          <w:b/>
        </w:rPr>
        <w:t>%</w:t>
      </w:r>
    </w:p>
    <w:p w:rsidR="00B640C8" w:rsidRPr="00A50B2F" w:rsidRDefault="00B640C8" w:rsidP="00D156EE">
      <w:pPr>
        <w:numPr>
          <w:ilvl w:val="0"/>
          <w:numId w:val="2"/>
        </w:numPr>
        <w:jc w:val="both"/>
        <w:rPr>
          <w:rFonts w:ascii="Arial Narrow" w:hAnsi="Arial Narrow"/>
          <w:b/>
        </w:rPr>
      </w:pPr>
      <w:r w:rsidRPr="00A50B2F">
        <w:rPr>
          <w:rFonts w:ascii="Arial Narrow" w:hAnsi="Arial Narrow"/>
          <w:b/>
        </w:rPr>
        <w:t>στις επ</w:t>
      </w:r>
      <w:r w:rsidR="005347AD">
        <w:rPr>
          <w:rFonts w:ascii="Arial Narrow" w:hAnsi="Arial Narrow"/>
          <w:b/>
        </w:rPr>
        <w:t>ενδύσεις: αύξηση καταγράφει το 12,1</w:t>
      </w:r>
      <w:r w:rsidRPr="00A50B2F">
        <w:rPr>
          <w:rFonts w:ascii="Arial Narrow" w:hAnsi="Arial Narrow"/>
          <w:b/>
        </w:rPr>
        <w:t>%, μείωση το</w:t>
      </w:r>
      <w:r w:rsidR="005347AD">
        <w:rPr>
          <w:rFonts w:ascii="Arial Narrow" w:hAnsi="Arial Narrow"/>
          <w:b/>
        </w:rPr>
        <w:t xml:space="preserve"> 38,6% και στασιμότητα το 45,4</w:t>
      </w:r>
      <w:r w:rsidRPr="00A50B2F">
        <w:rPr>
          <w:rFonts w:ascii="Arial Narrow" w:hAnsi="Arial Narrow"/>
          <w:b/>
        </w:rPr>
        <w:t>%</w:t>
      </w:r>
    </w:p>
    <w:p w:rsidR="00B640C8" w:rsidRDefault="00B640C8" w:rsidP="00CB03C1">
      <w:pPr>
        <w:jc w:val="both"/>
        <w:rPr>
          <w:rFonts w:ascii="Arial Narrow" w:hAnsi="Arial Narrow"/>
          <w:b/>
        </w:rPr>
      </w:pPr>
      <w:r>
        <w:rPr>
          <w:rFonts w:ascii="Arial Narrow" w:hAnsi="Arial Narrow"/>
          <w:b/>
        </w:rPr>
        <w:t xml:space="preserve"> </w:t>
      </w:r>
      <w:r w:rsidRPr="008F2928">
        <w:rPr>
          <w:rFonts w:ascii="Arial Narrow" w:hAnsi="Arial Narrow"/>
          <w:b/>
        </w:rPr>
        <w:t xml:space="preserve"> </w:t>
      </w:r>
    </w:p>
    <w:p w:rsidR="00806CBE" w:rsidRDefault="00B640C8" w:rsidP="00CB03C1">
      <w:pPr>
        <w:jc w:val="both"/>
        <w:rPr>
          <w:rFonts w:ascii="Arial Narrow" w:hAnsi="Arial Narrow"/>
        </w:rPr>
      </w:pPr>
      <w:r w:rsidRPr="00CB03C1">
        <w:rPr>
          <w:rFonts w:ascii="Arial Narrow" w:hAnsi="Arial Narrow"/>
        </w:rPr>
        <w:t>Ο</w:t>
      </w:r>
      <w:r>
        <w:rPr>
          <w:rFonts w:ascii="Arial Narrow" w:hAnsi="Arial Narrow"/>
        </w:rPr>
        <w:t xml:space="preserve"> μέσος όρος μείωσης τ</w:t>
      </w:r>
      <w:r w:rsidR="001044AC">
        <w:rPr>
          <w:rFonts w:ascii="Arial Narrow" w:hAnsi="Arial Narrow"/>
        </w:rPr>
        <w:t xml:space="preserve">ου κύκλου εργασιών </w:t>
      </w:r>
      <w:r w:rsidR="005347AD">
        <w:rPr>
          <w:rFonts w:ascii="Arial Narrow" w:hAnsi="Arial Narrow"/>
        </w:rPr>
        <w:t>ανήλθε</w:t>
      </w:r>
      <w:r w:rsidR="004853C0">
        <w:rPr>
          <w:rFonts w:ascii="Arial Narrow" w:hAnsi="Arial Narrow"/>
        </w:rPr>
        <w:t xml:space="preserve"> </w:t>
      </w:r>
      <w:r w:rsidR="005347AD">
        <w:rPr>
          <w:rFonts w:ascii="Arial Narrow" w:hAnsi="Arial Narrow"/>
        </w:rPr>
        <w:t>σ</w:t>
      </w:r>
      <w:r w:rsidR="004853C0">
        <w:rPr>
          <w:rFonts w:ascii="Arial Narrow" w:hAnsi="Arial Narrow"/>
        </w:rPr>
        <w:t xml:space="preserve">το </w:t>
      </w:r>
      <w:r w:rsidR="005347AD">
        <w:rPr>
          <w:rFonts w:ascii="Arial Narrow" w:hAnsi="Arial Narrow"/>
        </w:rPr>
        <w:t>12,55</w:t>
      </w:r>
      <w:r w:rsidRPr="00CD6F77">
        <w:rPr>
          <w:rFonts w:ascii="Arial Narrow" w:hAnsi="Arial Narrow"/>
        </w:rPr>
        <w:t xml:space="preserve">%, μικρότερος από το </w:t>
      </w:r>
      <w:r w:rsidR="0002595C">
        <w:rPr>
          <w:rFonts w:ascii="Arial Narrow" w:hAnsi="Arial Narrow"/>
        </w:rPr>
        <w:t>20</w:t>
      </w:r>
      <w:r w:rsidRPr="00CD6F77">
        <w:rPr>
          <w:rFonts w:ascii="Arial Narrow" w:hAnsi="Arial Narrow"/>
        </w:rPr>
        <w:t>% της αντίστοιχης μείωσης που καταγράφηκε στο προηγούμενο εξάμηνο.</w:t>
      </w:r>
      <w:r>
        <w:rPr>
          <w:rFonts w:ascii="Arial Narrow" w:hAnsi="Arial Narrow"/>
        </w:rPr>
        <w:t xml:space="preserve"> </w:t>
      </w:r>
      <w:r w:rsidRPr="00D03915">
        <w:rPr>
          <w:rFonts w:ascii="Arial Narrow" w:hAnsi="Arial Narrow"/>
          <w:b/>
        </w:rPr>
        <w:t xml:space="preserve">Σωρευτικά </w:t>
      </w:r>
      <w:r w:rsidR="0017764F" w:rsidRPr="00D03915">
        <w:rPr>
          <w:rFonts w:ascii="Arial Narrow" w:hAnsi="Arial Narrow"/>
          <w:b/>
        </w:rPr>
        <w:t xml:space="preserve">στις μικρομεσαίες επιχειρήσεις </w:t>
      </w:r>
      <w:r w:rsidRPr="00D03915">
        <w:rPr>
          <w:rFonts w:ascii="Arial Narrow" w:hAnsi="Arial Narrow"/>
          <w:b/>
        </w:rPr>
        <w:t xml:space="preserve">η </w:t>
      </w:r>
      <w:r w:rsidR="0017764F" w:rsidRPr="00D03915">
        <w:rPr>
          <w:rFonts w:ascii="Arial Narrow" w:hAnsi="Arial Narrow"/>
          <w:b/>
        </w:rPr>
        <w:t xml:space="preserve">συνολική </w:t>
      </w:r>
      <w:r w:rsidRPr="00D03915">
        <w:rPr>
          <w:rFonts w:ascii="Arial Narrow" w:hAnsi="Arial Narrow"/>
          <w:b/>
        </w:rPr>
        <w:t>μείωση</w:t>
      </w:r>
      <w:r w:rsidR="0017764F" w:rsidRPr="00D03915">
        <w:rPr>
          <w:rFonts w:ascii="Arial Narrow" w:hAnsi="Arial Narrow"/>
          <w:b/>
        </w:rPr>
        <w:t xml:space="preserve"> από την έναρξη της κρίσης και μετά </w:t>
      </w:r>
      <w:r w:rsidR="00556999">
        <w:rPr>
          <w:rFonts w:ascii="Arial Narrow" w:hAnsi="Arial Narrow"/>
          <w:b/>
        </w:rPr>
        <w:t xml:space="preserve">αγγίζει </w:t>
      </w:r>
      <w:proofErr w:type="spellStart"/>
      <w:r w:rsidR="00806CBE" w:rsidRPr="00D03915">
        <w:rPr>
          <w:rFonts w:ascii="Arial Narrow" w:hAnsi="Arial Narrow"/>
          <w:b/>
        </w:rPr>
        <w:t>μεσοσταθμικά</w:t>
      </w:r>
      <w:proofErr w:type="spellEnd"/>
      <w:r w:rsidR="00806CBE" w:rsidRPr="00D03915">
        <w:rPr>
          <w:rFonts w:ascii="Arial Narrow" w:hAnsi="Arial Narrow"/>
          <w:b/>
        </w:rPr>
        <w:t xml:space="preserve"> </w:t>
      </w:r>
      <w:r w:rsidR="00E413B7" w:rsidRPr="00556999">
        <w:rPr>
          <w:rFonts w:ascii="Arial Narrow" w:hAnsi="Arial Narrow"/>
          <w:b/>
        </w:rPr>
        <w:t xml:space="preserve">το </w:t>
      </w:r>
      <w:r w:rsidR="003340C0" w:rsidRPr="00556999">
        <w:rPr>
          <w:rFonts w:ascii="Arial Narrow" w:hAnsi="Arial Narrow"/>
          <w:b/>
        </w:rPr>
        <w:t>77</w:t>
      </w:r>
      <w:r w:rsidRPr="00556999">
        <w:rPr>
          <w:rFonts w:ascii="Arial Narrow" w:hAnsi="Arial Narrow"/>
          <w:b/>
        </w:rPr>
        <w:t>%</w:t>
      </w:r>
      <w:r w:rsidR="00806CBE">
        <w:rPr>
          <w:rFonts w:ascii="Arial Narrow" w:hAnsi="Arial Narrow"/>
        </w:rPr>
        <w:t xml:space="preserve"> (το οποίο επιβεβαιώνεται και από την πρόσφατες έρευνες της ΕΤΕ)</w:t>
      </w:r>
      <w:r>
        <w:rPr>
          <w:rFonts w:ascii="Arial Narrow" w:hAnsi="Arial Narrow"/>
        </w:rPr>
        <w:t xml:space="preserve">. </w:t>
      </w:r>
      <w:r w:rsidR="0002595C">
        <w:rPr>
          <w:rFonts w:ascii="Arial Narrow" w:hAnsi="Arial Narrow"/>
        </w:rPr>
        <w:t>Ευνοϊκότερη είναι η συγκυρία για τις επιχειρήσεις με μεγαλύτερο κύκλο εργασιών και περισσότερο προσωπικό, καθώς το ισοζύγιο θετικών-αρνητικών αποτιμ</w:t>
      </w:r>
      <w:r w:rsidR="0031721D">
        <w:rPr>
          <w:rFonts w:ascii="Arial Narrow" w:hAnsi="Arial Narrow"/>
        </w:rPr>
        <w:t>ήσεων είναι σχεδόν ουδέτερο</w:t>
      </w:r>
      <w:r w:rsidR="00806CBE">
        <w:rPr>
          <w:rFonts w:ascii="Arial Narrow" w:hAnsi="Arial Narrow"/>
        </w:rPr>
        <w:t>.</w:t>
      </w:r>
      <w:r w:rsidR="0031721D">
        <w:rPr>
          <w:rFonts w:ascii="Arial Narrow" w:hAnsi="Arial Narrow"/>
        </w:rPr>
        <w:t xml:space="preserve"> </w:t>
      </w:r>
    </w:p>
    <w:p w:rsidR="00806CBE" w:rsidRDefault="00806CBE" w:rsidP="00CB03C1">
      <w:pPr>
        <w:jc w:val="both"/>
        <w:rPr>
          <w:rFonts w:ascii="Arial Narrow" w:hAnsi="Arial Narrow"/>
        </w:rPr>
      </w:pPr>
    </w:p>
    <w:p w:rsidR="009647E1" w:rsidRDefault="00806CBE" w:rsidP="00AF2328">
      <w:pPr>
        <w:jc w:val="both"/>
        <w:rPr>
          <w:rFonts w:ascii="Arial Narrow" w:hAnsi="Arial Narrow"/>
          <w:color w:val="FF0000"/>
        </w:rPr>
      </w:pPr>
      <w:r w:rsidRPr="009647E1">
        <w:rPr>
          <w:rFonts w:ascii="Arial Narrow" w:hAnsi="Arial Narrow"/>
          <w:b/>
        </w:rPr>
        <w:t>Από τα στοιχεία</w:t>
      </w:r>
      <w:r w:rsidR="0002595C">
        <w:rPr>
          <w:rFonts w:ascii="Arial Narrow" w:hAnsi="Arial Narrow"/>
          <w:b/>
        </w:rPr>
        <w:t xml:space="preserve"> αποτίμησης του β’ εξαμήνου</w:t>
      </w:r>
      <w:r w:rsidRPr="009647E1">
        <w:rPr>
          <w:rFonts w:ascii="Arial Narrow" w:hAnsi="Arial Narrow"/>
          <w:b/>
        </w:rPr>
        <w:t xml:space="preserve"> προκύπτει </w:t>
      </w:r>
      <w:r w:rsidR="0002595C">
        <w:rPr>
          <w:rFonts w:ascii="Arial Narrow" w:hAnsi="Arial Narrow"/>
          <w:b/>
        </w:rPr>
        <w:t>μια μικρή αποκλιμάκωση</w:t>
      </w:r>
      <w:r w:rsidRPr="009647E1">
        <w:rPr>
          <w:rFonts w:ascii="Arial Narrow" w:hAnsi="Arial Narrow"/>
          <w:b/>
        </w:rPr>
        <w:t xml:space="preserve"> της αρνητικής τροχιάς</w:t>
      </w:r>
      <w:r w:rsidR="009647E1" w:rsidRPr="009647E1">
        <w:rPr>
          <w:rFonts w:ascii="Arial Narrow" w:hAnsi="Arial Narrow"/>
          <w:b/>
        </w:rPr>
        <w:t xml:space="preserve"> που είχε ξεκινήσει από το 2010</w:t>
      </w:r>
      <w:r w:rsidR="009647E1" w:rsidRPr="009647E1">
        <w:rPr>
          <w:rFonts w:ascii="Tahoma" w:hAnsi="Tahoma" w:cs="Tahoma"/>
          <w:b/>
          <w:sz w:val="22"/>
          <w:szCs w:val="22"/>
        </w:rPr>
        <w:t>.</w:t>
      </w:r>
      <w:r w:rsidR="0031721D">
        <w:rPr>
          <w:rFonts w:ascii="Tahoma" w:hAnsi="Tahoma" w:cs="Tahoma"/>
          <w:b/>
          <w:sz w:val="22"/>
          <w:szCs w:val="22"/>
        </w:rPr>
        <w:t xml:space="preserve"> </w:t>
      </w:r>
      <w:r w:rsidR="0031721D">
        <w:rPr>
          <w:rFonts w:ascii="Arial Narrow" w:hAnsi="Arial Narrow"/>
        </w:rPr>
        <w:t>Συνολικά, τα μετρήσιμα οικονομικά μεγέθη των επιχειρήσεων τα οποία καταγράφουν</w:t>
      </w:r>
      <w:r w:rsidR="00796377">
        <w:rPr>
          <w:rFonts w:ascii="Arial Narrow" w:hAnsi="Arial Narrow"/>
        </w:rPr>
        <w:t xml:space="preserve"> και</w:t>
      </w:r>
      <w:r w:rsidR="0031721D">
        <w:rPr>
          <w:rFonts w:ascii="Arial Narrow" w:hAnsi="Arial Narrow"/>
        </w:rPr>
        <w:t xml:space="preserve"> </w:t>
      </w:r>
      <w:r w:rsidR="00202B7E">
        <w:rPr>
          <w:rFonts w:ascii="Arial Narrow" w:hAnsi="Arial Narrow"/>
        </w:rPr>
        <w:t>τη μικρότερη αποκλιμάκωση, παραμένουν σε αρνητική τροχιά. Η μειωμένη ρευστότητα και η περιορισμένη επενδυτική δραστηριότητα είναι έκφραση των κινδύνων που διατρέχουν οι επιχειρήσεις.</w:t>
      </w:r>
      <w:r w:rsidR="009647E1" w:rsidRPr="009647E1">
        <w:rPr>
          <w:rFonts w:ascii="Tahoma" w:hAnsi="Tahoma" w:cs="Tahoma"/>
          <w:b/>
          <w:sz w:val="22"/>
          <w:szCs w:val="22"/>
        </w:rPr>
        <w:t xml:space="preserve"> </w:t>
      </w:r>
      <w:r w:rsidR="0031721D" w:rsidRPr="0031721D">
        <w:rPr>
          <w:rFonts w:ascii="Arial Narrow" w:hAnsi="Arial Narrow"/>
        </w:rPr>
        <w:t xml:space="preserve">Πρόκειται για μια εύθραυστη σταθεροποίηση, </w:t>
      </w:r>
      <w:r w:rsidR="0031721D">
        <w:rPr>
          <w:rFonts w:ascii="Arial Narrow" w:hAnsi="Arial Narrow"/>
        </w:rPr>
        <w:t>με σημείο αφετηρίας</w:t>
      </w:r>
      <w:r w:rsidR="0031721D" w:rsidRPr="0031721D">
        <w:rPr>
          <w:rFonts w:ascii="Arial Narrow" w:hAnsi="Arial Narrow"/>
        </w:rPr>
        <w:t xml:space="preserve"> το προηγούμενο εξάμηνο, η οποία αναζητά το κατάλληλο μίγμα οικονομικής πολιτικής</w:t>
      </w:r>
      <w:r w:rsidR="0031721D">
        <w:rPr>
          <w:rFonts w:ascii="Arial Narrow" w:hAnsi="Arial Narrow"/>
        </w:rPr>
        <w:t xml:space="preserve"> για να μετασχηματιστεί σε ανάληψη επενδυτικ</w:t>
      </w:r>
      <w:r w:rsidR="00202B7E">
        <w:rPr>
          <w:rFonts w:ascii="Arial Narrow" w:hAnsi="Arial Narrow"/>
        </w:rPr>
        <w:t>ών</w:t>
      </w:r>
      <w:r w:rsidR="0031721D">
        <w:rPr>
          <w:rFonts w:ascii="Arial Narrow" w:hAnsi="Arial Narrow"/>
        </w:rPr>
        <w:t xml:space="preserve"> πρωτοβουλ</w:t>
      </w:r>
      <w:r w:rsidR="00202B7E">
        <w:rPr>
          <w:rFonts w:ascii="Arial Narrow" w:hAnsi="Arial Narrow"/>
        </w:rPr>
        <w:t>ιών και βελτίωση της οικονομικής πραγματικότητας.</w:t>
      </w:r>
      <w:r w:rsidR="0031721D" w:rsidRPr="0031721D">
        <w:rPr>
          <w:rFonts w:ascii="Arial Narrow" w:hAnsi="Arial Narrow"/>
        </w:rPr>
        <w:t xml:space="preserve">  </w:t>
      </w:r>
    </w:p>
    <w:p w:rsidR="007F5564" w:rsidRPr="0002595C" w:rsidRDefault="007F5564" w:rsidP="00AF2328">
      <w:pPr>
        <w:jc w:val="both"/>
        <w:rPr>
          <w:rFonts w:ascii="Arial Narrow" w:hAnsi="Arial Narrow"/>
          <w:b/>
          <w:color w:val="FF0000"/>
        </w:rPr>
      </w:pPr>
    </w:p>
    <w:p w:rsidR="00B640C8" w:rsidRDefault="00B640C8" w:rsidP="008F2928">
      <w:pPr>
        <w:jc w:val="both"/>
        <w:rPr>
          <w:rFonts w:ascii="Arial Narrow" w:hAnsi="Arial Narrow"/>
          <w:b/>
          <w:bCs/>
        </w:rPr>
      </w:pPr>
    </w:p>
    <w:p w:rsidR="00B640C8" w:rsidRPr="000344FF" w:rsidRDefault="00B640C8" w:rsidP="008F2928">
      <w:pPr>
        <w:jc w:val="both"/>
        <w:rPr>
          <w:rFonts w:ascii="Arial Narrow" w:hAnsi="Arial Narrow"/>
          <w:b/>
          <w:bCs/>
          <w:u w:val="single"/>
        </w:rPr>
      </w:pPr>
      <w:r w:rsidRPr="000344FF">
        <w:rPr>
          <w:rFonts w:ascii="Arial Narrow" w:hAnsi="Arial Narrow"/>
          <w:b/>
          <w:bCs/>
          <w:u w:val="single"/>
        </w:rPr>
        <w:t>ΑΠΟΤΙΜΗΣΗ ΤΕΛΕΥΤΑΙΟΥ ΕΞΑΜΗΝΟΥ</w:t>
      </w:r>
      <w:r>
        <w:rPr>
          <w:rFonts w:ascii="Arial Narrow" w:hAnsi="Arial Narrow"/>
          <w:b/>
          <w:bCs/>
          <w:u w:val="single"/>
        </w:rPr>
        <w:t>- ΔΙΑΓΡΑΜΜΑ 1</w:t>
      </w:r>
    </w:p>
    <w:p w:rsidR="00B640C8" w:rsidRDefault="0031721D" w:rsidP="00F77B83">
      <w:pPr>
        <w:jc w:val="both"/>
        <w:rPr>
          <w:rFonts w:ascii="Arial Narrow" w:hAnsi="Arial Narrow"/>
        </w:rPr>
      </w:pPr>
      <w:r>
        <w:rPr>
          <w:rFonts w:ascii="Arial Narrow" w:hAnsi="Arial Narrow"/>
          <w:noProof/>
        </w:rPr>
        <w:drawing>
          <wp:anchor distT="0" distB="0" distL="114300" distR="114300" simplePos="0" relativeHeight="251663872" behindDoc="0" locked="0" layoutInCell="1" allowOverlap="1" wp14:anchorId="2131DA73" wp14:editId="10963FD4">
            <wp:simplePos x="0" y="0"/>
            <wp:positionH relativeFrom="column">
              <wp:posOffset>162146</wp:posOffset>
            </wp:positionH>
            <wp:positionV relativeFrom="paragraph">
              <wp:posOffset>28590</wp:posOffset>
            </wp:positionV>
            <wp:extent cx="5518297" cy="3423683"/>
            <wp:effectExtent l="0" t="0" r="0" b="0"/>
            <wp:wrapNone/>
            <wp:docPr id="8" name="Γράφημα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202B7E" w:rsidRDefault="00202B7E" w:rsidP="008F2928">
      <w:pPr>
        <w:jc w:val="both"/>
        <w:rPr>
          <w:rFonts w:ascii="Arial Narrow" w:hAnsi="Arial Narrow"/>
        </w:rPr>
      </w:pPr>
    </w:p>
    <w:p w:rsidR="00202B7E" w:rsidRDefault="00202B7E" w:rsidP="008F2928">
      <w:pPr>
        <w:jc w:val="both"/>
        <w:rPr>
          <w:rFonts w:ascii="Arial Narrow" w:hAnsi="Arial Narrow"/>
        </w:rPr>
      </w:pPr>
    </w:p>
    <w:p w:rsidR="00B640C8" w:rsidRPr="008F2928" w:rsidRDefault="00B640C8" w:rsidP="00D156EE">
      <w:pPr>
        <w:numPr>
          <w:ilvl w:val="0"/>
          <w:numId w:val="1"/>
        </w:numPr>
        <w:tabs>
          <w:tab w:val="clear" w:pos="1080"/>
          <w:tab w:val="num" w:pos="360"/>
        </w:tabs>
        <w:ind w:left="360"/>
        <w:jc w:val="both"/>
        <w:rPr>
          <w:rFonts w:ascii="Arial Narrow" w:hAnsi="Arial Narrow"/>
          <w:b/>
          <w:u w:val="single"/>
        </w:rPr>
      </w:pPr>
      <w:r>
        <w:rPr>
          <w:rFonts w:ascii="Arial Narrow" w:hAnsi="Arial Narrow"/>
          <w:b/>
          <w:u w:val="single"/>
        </w:rPr>
        <w:lastRenderedPageBreak/>
        <w:t>Κ</w:t>
      </w:r>
      <w:r w:rsidRPr="008F2928">
        <w:rPr>
          <w:rFonts w:ascii="Arial Narrow" w:hAnsi="Arial Narrow"/>
          <w:b/>
          <w:u w:val="single"/>
        </w:rPr>
        <w:t>ΛΕΙΣΙΜΟ ΕΠΙΧΕΙΡΗΣΕΩΝ</w:t>
      </w:r>
    </w:p>
    <w:p w:rsidR="0082196A" w:rsidRDefault="00B640C8" w:rsidP="0082196A">
      <w:pPr>
        <w:jc w:val="both"/>
        <w:rPr>
          <w:rFonts w:ascii="Arial Narrow" w:hAnsi="Arial Narrow"/>
          <w:color w:val="FF0000"/>
        </w:rPr>
      </w:pPr>
      <w:r w:rsidRPr="008F2928">
        <w:rPr>
          <w:rFonts w:ascii="Arial Narrow" w:hAnsi="Arial Narrow"/>
          <w:sz w:val="20"/>
          <w:szCs w:val="20"/>
          <w:u w:val="single"/>
        </w:rPr>
        <w:t xml:space="preserve">   </w:t>
      </w:r>
    </w:p>
    <w:p w:rsidR="00B640C8" w:rsidRPr="0082196A" w:rsidRDefault="00B640C8" w:rsidP="00D156EE">
      <w:pPr>
        <w:numPr>
          <w:ilvl w:val="0"/>
          <w:numId w:val="7"/>
        </w:numPr>
        <w:jc w:val="both"/>
        <w:rPr>
          <w:rFonts w:ascii="Arial Narrow" w:hAnsi="Arial Narrow"/>
        </w:rPr>
      </w:pPr>
      <w:r w:rsidRPr="0082196A">
        <w:rPr>
          <w:rFonts w:ascii="Arial Narrow" w:hAnsi="Arial Narrow"/>
        </w:rPr>
        <w:t>Το ποσοστό των μικρών επιχειρήσεων</w:t>
      </w:r>
      <w:r w:rsidR="00490F37">
        <w:rPr>
          <w:rFonts w:ascii="Arial Narrow" w:hAnsi="Arial Narrow"/>
        </w:rPr>
        <w:t>,</w:t>
      </w:r>
      <w:r w:rsidRPr="0082196A">
        <w:rPr>
          <w:rFonts w:ascii="Arial Narrow" w:hAnsi="Arial Narrow"/>
        </w:rPr>
        <w:t xml:space="preserve"> που θεωρούν πολύ ή αρκετά πιθανό το ενδεχόμενο να έχουν το επόμενο διάστημα σοβαρό πρόβλημα λειτουργίας</w:t>
      </w:r>
      <w:r w:rsidR="00490F37">
        <w:rPr>
          <w:rFonts w:ascii="Arial Narrow" w:hAnsi="Arial Narrow"/>
        </w:rPr>
        <w:t>,</w:t>
      </w:r>
      <w:r w:rsidRPr="0082196A">
        <w:rPr>
          <w:rFonts w:ascii="Arial Narrow" w:hAnsi="Arial Narrow"/>
        </w:rPr>
        <w:t xml:space="preserve"> σε βαθμό που θα κινδυνεύσουν </w:t>
      </w:r>
      <w:r w:rsidR="0082196A" w:rsidRPr="0082196A">
        <w:rPr>
          <w:rFonts w:ascii="Arial Narrow" w:hAnsi="Arial Narrow"/>
        </w:rPr>
        <w:t xml:space="preserve">να κλείσουν μειώνεται, αλλά </w:t>
      </w:r>
      <w:r w:rsidR="00E54013" w:rsidRPr="0082196A">
        <w:rPr>
          <w:rFonts w:ascii="Arial Narrow" w:hAnsi="Arial Narrow"/>
        </w:rPr>
        <w:t xml:space="preserve">παραμένει </w:t>
      </w:r>
      <w:r w:rsidR="0082196A" w:rsidRPr="0082196A">
        <w:rPr>
          <w:rFonts w:ascii="Arial Narrow" w:hAnsi="Arial Narrow"/>
        </w:rPr>
        <w:t>σε υψηλά επίπεδα. Μια στις 3 επιχειρ</w:t>
      </w:r>
      <w:r w:rsidR="0082196A">
        <w:rPr>
          <w:rFonts w:ascii="Arial Narrow" w:hAnsi="Arial Narrow"/>
        </w:rPr>
        <w:t>ήσεις θεωρεί</w:t>
      </w:r>
      <w:r w:rsidR="0082196A" w:rsidRPr="0082196A">
        <w:rPr>
          <w:rFonts w:ascii="Arial Narrow" w:hAnsi="Arial Narrow"/>
        </w:rPr>
        <w:t xml:space="preserve"> ως πολύ πιθανό τον κίνδυνο λουκέτου </w:t>
      </w:r>
      <w:r w:rsidRPr="0082196A">
        <w:rPr>
          <w:rFonts w:ascii="Arial Narrow" w:hAnsi="Arial Narrow"/>
        </w:rPr>
        <w:t>(</w:t>
      </w:r>
      <w:r w:rsidR="0082196A" w:rsidRPr="0082196A">
        <w:rPr>
          <w:rFonts w:ascii="Arial Narrow" w:hAnsi="Arial Narrow"/>
        </w:rPr>
        <w:t xml:space="preserve">έναντι </w:t>
      </w:r>
      <w:r w:rsidR="0044567F" w:rsidRPr="0082196A">
        <w:rPr>
          <w:rFonts w:ascii="Arial Narrow" w:hAnsi="Arial Narrow"/>
        </w:rPr>
        <w:t>47,8</w:t>
      </w:r>
      <w:r w:rsidR="0082196A" w:rsidRPr="0082196A">
        <w:rPr>
          <w:rFonts w:ascii="Arial Narrow" w:hAnsi="Arial Narrow"/>
        </w:rPr>
        <w:t>%</w:t>
      </w:r>
      <w:r w:rsidR="0044567F" w:rsidRPr="0082196A">
        <w:rPr>
          <w:rFonts w:ascii="Arial Narrow" w:hAnsi="Arial Narrow"/>
        </w:rPr>
        <w:t xml:space="preserve"> στην αντίστοιχη έρευνα </w:t>
      </w:r>
      <w:r w:rsidR="0082196A" w:rsidRPr="0082196A">
        <w:rPr>
          <w:rFonts w:ascii="Arial Narrow" w:hAnsi="Arial Narrow"/>
        </w:rPr>
        <w:t>Ιουλίου</w:t>
      </w:r>
      <w:r w:rsidR="0044567F" w:rsidRPr="0082196A">
        <w:rPr>
          <w:rFonts w:ascii="Arial Narrow" w:hAnsi="Arial Narrow"/>
        </w:rPr>
        <w:t xml:space="preserve"> 2014</w:t>
      </w:r>
      <w:r w:rsidRPr="0082196A">
        <w:rPr>
          <w:rFonts w:ascii="Arial Narrow" w:hAnsi="Arial Narrow"/>
        </w:rPr>
        <w:t xml:space="preserve">). </w:t>
      </w:r>
      <w:r w:rsidR="0044567F" w:rsidRPr="0082196A">
        <w:rPr>
          <w:rFonts w:ascii="Arial Narrow" w:hAnsi="Arial Narrow"/>
        </w:rPr>
        <w:t xml:space="preserve">Επισημαίνεται ότι </w:t>
      </w:r>
      <w:r w:rsidRPr="0082196A">
        <w:rPr>
          <w:rFonts w:ascii="Arial Narrow" w:hAnsi="Arial Narrow"/>
        </w:rPr>
        <w:t>το Μάιο του 2009 ο αντίστο</w:t>
      </w:r>
      <w:r w:rsidR="00CE76D0" w:rsidRPr="0082196A">
        <w:rPr>
          <w:rFonts w:ascii="Arial Narrow" w:hAnsi="Arial Narrow"/>
        </w:rPr>
        <w:t>ιχος δείκτης ήταν 11,7% (διαγρά</w:t>
      </w:r>
      <w:r w:rsidRPr="0082196A">
        <w:rPr>
          <w:rFonts w:ascii="Arial Narrow" w:hAnsi="Arial Narrow"/>
        </w:rPr>
        <w:t>μμα</w:t>
      </w:r>
      <w:r w:rsidR="00CE76D0" w:rsidRPr="0082196A">
        <w:rPr>
          <w:rFonts w:ascii="Arial Narrow" w:hAnsi="Arial Narrow"/>
        </w:rPr>
        <w:t>τα</w:t>
      </w:r>
      <w:r w:rsidRPr="0082196A">
        <w:rPr>
          <w:rFonts w:ascii="Arial Narrow" w:hAnsi="Arial Narrow"/>
        </w:rPr>
        <w:t xml:space="preserve"> </w:t>
      </w:r>
      <w:r w:rsidR="00CE76D0" w:rsidRPr="0082196A">
        <w:rPr>
          <w:rFonts w:ascii="Arial Narrow" w:hAnsi="Arial Narrow"/>
        </w:rPr>
        <w:t xml:space="preserve">2 &amp; </w:t>
      </w:r>
      <w:r w:rsidRPr="0082196A">
        <w:rPr>
          <w:rFonts w:ascii="Arial Narrow" w:hAnsi="Arial Narrow"/>
        </w:rPr>
        <w:t>3).</w:t>
      </w:r>
    </w:p>
    <w:p w:rsidR="00B640C8" w:rsidRPr="00925A9D" w:rsidRDefault="0082196A" w:rsidP="00D156EE">
      <w:pPr>
        <w:numPr>
          <w:ilvl w:val="0"/>
          <w:numId w:val="7"/>
        </w:numPr>
        <w:jc w:val="both"/>
        <w:rPr>
          <w:rFonts w:ascii="Arial Narrow" w:hAnsi="Arial Narrow"/>
          <w:b/>
        </w:rPr>
      </w:pPr>
      <w:r w:rsidRPr="00925A9D">
        <w:rPr>
          <w:rFonts w:ascii="Arial Narrow" w:hAnsi="Arial Narrow"/>
        </w:rPr>
        <w:t xml:space="preserve">Άμεσο κίνδυνο </w:t>
      </w:r>
      <w:r w:rsidR="000B6F7C" w:rsidRPr="00925A9D">
        <w:rPr>
          <w:rFonts w:ascii="Arial Narrow" w:hAnsi="Arial Narrow"/>
        </w:rPr>
        <w:t xml:space="preserve">κλεισίματος το επόμενο εξάμηνο </w:t>
      </w:r>
      <w:r w:rsidRPr="00925A9D">
        <w:rPr>
          <w:rFonts w:ascii="Arial Narrow" w:hAnsi="Arial Narrow"/>
        </w:rPr>
        <w:t>αντιμετωπ</w:t>
      </w:r>
      <w:r w:rsidR="000B6F7C" w:rsidRPr="00925A9D">
        <w:rPr>
          <w:rFonts w:ascii="Arial Narrow" w:hAnsi="Arial Narrow"/>
        </w:rPr>
        <w:t>ίζει</w:t>
      </w:r>
      <w:r w:rsidRPr="00925A9D">
        <w:rPr>
          <w:rFonts w:ascii="Arial Narrow" w:hAnsi="Arial Narrow"/>
        </w:rPr>
        <w:t xml:space="preserve"> περίπου</w:t>
      </w:r>
      <w:r w:rsidR="000B6F7C" w:rsidRPr="00925A9D">
        <w:rPr>
          <w:rFonts w:ascii="Arial Narrow" w:hAnsi="Arial Narrow"/>
        </w:rPr>
        <w:t xml:space="preserve"> το </w:t>
      </w:r>
      <w:r w:rsidR="00925A9D" w:rsidRPr="00925A9D">
        <w:rPr>
          <w:rFonts w:ascii="Arial Narrow" w:hAnsi="Arial Narrow"/>
        </w:rPr>
        <w:t>8,5</w:t>
      </w:r>
      <w:r w:rsidR="000B6F7C" w:rsidRPr="00925A9D">
        <w:rPr>
          <w:rFonts w:ascii="Arial Narrow" w:hAnsi="Arial Narrow"/>
        </w:rPr>
        <w:t xml:space="preserve">% των </w:t>
      </w:r>
      <w:r w:rsidR="00925A9D" w:rsidRPr="00925A9D">
        <w:rPr>
          <w:rFonts w:ascii="Arial Narrow" w:hAnsi="Arial Narrow"/>
        </w:rPr>
        <w:t xml:space="preserve">μικρών </w:t>
      </w:r>
      <w:r w:rsidR="000B6F7C" w:rsidRPr="00925A9D">
        <w:rPr>
          <w:rFonts w:ascii="Arial Narrow" w:hAnsi="Arial Narrow"/>
        </w:rPr>
        <w:t>επιχειρήσεων.</w:t>
      </w:r>
      <w:r w:rsidRPr="00925A9D">
        <w:rPr>
          <w:rFonts w:ascii="Arial Narrow" w:hAnsi="Arial Narrow"/>
        </w:rPr>
        <w:t xml:space="preserve"> </w:t>
      </w:r>
      <w:r w:rsidR="00925A9D" w:rsidRPr="00925A9D">
        <w:rPr>
          <w:rFonts w:ascii="Arial Narrow" w:hAnsi="Arial Narrow"/>
        </w:rPr>
        <w:t>Αυτό μεταφράζεται ότι σ</w:t>
      </w:r>
      <w:r w:rsidR="00B640C8" w:rsidRPr="00925A9D">
        <w:rPr>
          <w:rFonts w:ascii="Arial Narrow" w:hAnsi="Arial Narrow"/>
        </w:rPr>
        <w:t>ε απόλυτα μεγέθη</w:t>
      </w:r>
      <w:r w:rsidR="00BF01B2">
        <w:rPr>
          <w:rFonts w:ascii="Arial Narrow" w:hAnsi="Arial Narrow"/>
        </w:rPr>
        <w:t xml:space="preserve"> 51</w:t>
      </w:r>
      <w:r w:rsidR="00925A9D" w:rsidRPr="00925A9D">
        <w:rPr>
          <w:rFonts w:ascii="Arial Narrow" w:hAnsi="Arial Narrow"/>
        </w:rPr>
        <w:t>,000</w:t>
      </w:r>
      <w:r w:rsidR="00B640C8" w:rsidRPr="00925A9D">
        <w:rPr>
          <w:rFonts w:ascii="Arial Narrow" w:hAnsi="Arial Narrow"/>
        </w:rPr>
        <w:t xml:space="preserve"> </w:t>
      </w:r>
      <w:r w:rsidR="00925A9D" w:rsidRPr="00925A9D">
        <w:rPr>
          <w:rFonts w:ascii="Arial Narrow" w:hAnsi="Arial Narrow"/>
        </w:rPr>
        <w:t xml:space="preserve">μικρές </w:t>
      </w:r>
      <w:r w:rsidR="00B640C8" w:rsidRPr="00925A9D">
        <w:rPr>
          <w:rFonts w:ascii="Arial Narrow" w:hAnsi="Arial Narrow"/>
        </w:rPr>
        <w:t xml:space="preserve">επιχειρήσεις βρίσκονται στο «κόκκινο». </w:t>
      </w:r>
      <w:r w:rsidR="00B640C8" w:rsidRPr="00925A9D">
        <w:rPr>
          <w:rFonts w:ascii="Arial Narrow" w:hAnsi="Arial Narrow"/>
          <w:b/>
        </w:rPr>
        <w:t>Εκτιμάται ότι η μείωση επιχειρήσεων τ</w:t>
      </w:r>
      <w:r w:rsidR="00E54013" w:rsidRPr="00925A9D">
        <w:rPr>
          <w:rFonts w:ascii="Arial Narrow" w:hAnsi="Arial Narrow"/>
          <w:b/>
        </w:rPr>
        <w:t>ο επόμενο</w:t>
      </w:r>
      <w:r w:rsidR="00C00536">
        <w:rPr>
          <w:rFonts w:ascii="Arial Narrow" w:hAnsi="Arial Narrow"/>
          <w:b/>
        </w:rPr>
        <w:t xml:space="preserve"> εξάμηνο</w:t>
      </w:r>
      <w:r w:rsidR="00E54013" w:rsidRPr="00925A9D">
        <w:rPr>
          <w:rFonts w:ascii="Arial Narrow" w:hAnsi="Arial Narrow"/>
          <w:b/>
        </w:rPr>
        <w:t xml:space="preserve"> </w:t>
      </w:r>
      <w:r w:rsidR="001C558F" w:rsidRPr="00925A9D">
        <w:rPr>
          <w:rFonts w:ascii="Arial Narrow" w:hAnsi="Arial Narrow"/>
          <w:b/>
        </w:rPr>
        <w:t xml:space="preserve">θα είναι </w:t>
      </w:r>
      <w:r w:rsidR="00F1288E" w:rsidRPr="00556999">
        <w:rPr>
          <w:rFonts w:ascii="Arial Narrow" w:hAnsi="Arial Narrow"/>
          <w:b/>
          <w:u w:val="single"/>
        </w:rPr>
        <w:t>8,5</w:t>
      </w:r>
      <w:r w:rsidR="001C558F" w:rsidRPr="00556999">
        <w:rPr>
          <w:rFonts w:ascii="Arial Narrow" w:hAnsi="Arial Narrow"/>
          <w:b/>
          <w:u w:val="single"/>
        </w:rPr>
        <w:t>00</w:t>
      </w:r>
      <w:r w:rsidR="00222C4F" w:rsidRPr="00925A9D">
        <w:rPr>
          <w:rFonts w:ascii="Arial Narrow" w:hAnsi="Arial Narrow"/>
          <w:b/>
        </w:rPr>
        <w:t xml:space="preserve"> και θα αφορά κυρίως τις </w:t>
      </w:r>
      <w:r w:rsidR="00222C4F" w:rsidRPr="00925A9D">
        <w:rPr>
          <w:rFonts w:ascii="Arial Narrow" w:hAnsi="Arial Narrow"/>
          <w:b/>
          <w:u w:val="single"/>
        </w:rPr>
        <w:t>πολύ μικρές επιχειρήσ</w:t>
      </w:r>
      <w:r w:rsidR="00222C4F" w:rsidRPr="00925A9D">
        <w:rPr>
          <w:rFonts w:ascii="Arial Narrow" w:hAnsi="Arial Narrow"/>
          <w:b/>
        </w:rPr>
        <w:t>εις</w:t>
      </w:r>
      <w:r w:rsidR="002A73E7" w:rsidRPr="00925A9D">
        <w:rPr>
          <w:rFonts w:ascii="Arial Narrow" w:hAnsi="Arial Narrow"/>
          <w:b/>
        </w:rPr>
        <w:t>.</w:t>
      </w:r>
      <w:r w:rsidR="00B640C8" w:rsidRPr="00925A9D">
        <w:rPr>
          <w:rFonts w:ascii="Arial Narrow" w:hAnsi="Arial Narrow"/>
        </w:rPr>
        <w:t xml:space="preserve">. </w:t>
      </w:r>
    </w:p>
    <w:p w:rsidR="00B640C8" w:rsidRPr="00556999" w:rsidRDefault="00B640C8" w:rsidP="008F2928">
      <w:pPr>
        <w:numPr>
          <w:ilvl w:val="0"/>
          <w:numId w:val="7"/>
        </w:numPr>
        <w:ind w:right="26"/>
        <w:jc w:val="both"/>
        <w:rPr>
          <w:rFonts w:ascii="Arial Narrow" w:hAnsi="Arial Narrow"/>
        </w:rPr>
      </w:pPr>
      <w:r w:rsidRPr="00556999">
        <w:rPr>
          <w:rFonts w:ascii="Arial Narrow" w:hAnsi="Arial Narrow"/>
        </w:rPr>
        <w:t xml:space="preserve">Επισημαίνεται ότι σύμφωνα με </w:t>
      </w:r>
      <w:r w:rsidR="00906CEC" w:rsidRPr="00556999">
        <w:rPr>
          <w:rFonts w:ascii="Arial Narrow" w:hAnsi="Arial Narrow"/>
        </w:rPr>
        <w:t>το</w:t>
      </w:r>
      <w:r w:rsidRPr="00556999">
        <w:rPr>
          <w:rFonts w:ascii="Arial Narrow" w:hAnsi="Arial Narrow"/>
        </w:rPr>
        <w:t xml:space="preserve"> </w:t>
      </w:r>
      <w:r w:rsidR="00906CEC" w:rsidRPr="00556999">
        <w:rPr>
          <w:rFonts w:ascii="Arial Narrow" w:hAnsi="Arial Narrow"/>
        </w:rPr>
        <w:t>συντηρητικό</w:t>
      </w:r>
      <w:r w:rsidRPr="00556999">
        <w:rPr>
          <w:rFonts w:ascii="Arial Narrow" w:hAnsi="Arial Narrow"/>
        </w:rPr>
        <w:t xml:space="preserve"> σενάριο</w:t>
      </w:r>
      <w:r w:rsidR="00906CEC" w:rsidRPr="00556999">
        <w:rPr>
          <w:rFonts w:ascii="Arial Narrow" w:hAnsi="Arial Narrow"/>
        </w:rPr>
        <w:t xml:space="preserve"> του ΙΜΕ-ΓΣΕΒΕΕ</w:t>
      </w:r>
      <w:r w:rsidRPr="00556999">
        <w:rPr>
          <w:rFonts w:ascii="Arial Narrow" w:hAnsi="Arial Narrow"/>
        </w:rPr>
        <w:t xml:space="preserve"> τα πιθανά λουκέτα επιχειρήσεων, που βρίσκονται στο «κόκκινο» </w:t>
      </w:r>
      <w:r w:rsidRPr="00556999">
        <w:rPr>
          <w:rFonts w:ascii="Arial Narrow" w:hAnsi="Arial Narrow"/>
          <w:b/>
        </w:rPr>
        <w:t xml:space="preserve">συνεπάγονται κίνδυνο απώλειας </w:t>
      </w:r>
      <w:r w:rsidR="00810C03" w:rsidRPr="00556999">
        <w:rPr>
          <w:rFonts w:ascii="Arial Narrow" w:hAnsi="Arial Narrow"/>
          <w:b/>
          <w:u w:val="single"/>
        </w:rPr>
        <w:t>20</w:t>
      </w:r>
      <w:r w:rsidR="006A06E7" w:rsidRPr="00556999">
        <w:rPr>
          <w:rFonts w:ascii="Arial Narrow" w:hAnsi="Arial Narrow"/>
          <w:b/>
          <w:u w:val="single"/>
        </w:rPr>
        <w:t>,000</w:t>
      </w:r>
      <w:r w:rsidRPr="00556999">
        <w:rPr>
          <w:rFonts w:ascii="Arial Narrow" w:hAnsi="Arial Narrow"/>
          <w:b/>
        </w:rPr>
        <w:t xml:space="preserve"> θέσεων συνολικής απασχόλησης</w:t>
      </w:r>
      <w:r w:rsidR="004853C0" w:rsidRPr="00556999">
        <w:rPr>
          <w:rFonts w:ascii="Arial Narrow" w:hAnsi="Arial Narrow"/>
          <w:b/>
        </w:rPr>
        <w:t xml:space="preserve"> (εργοδότες, αυτοαπασχολούμενοι</w:t>
      </w:r>
      <w:r w:rsidR="001C558F" w:rsidRPr="00556999">
        <w:rPr>
          <w:rFonts w:ascii="Arial Narrow" w:hAnsi="Arial Narrow"/>
          <w:b/>
        </w:rPr>
        <w:t>,</w:t>
      </w:r>
      <w:r w:rsidRPr="00556999">
        <w:rPr>
          <w:rFonts w:ascii="Arial Narrow" w:hAnsi="Arial Narrow"/>
          <w:b/>
        </w:rPr>
        <w:t xml:space="preserve"> μισθωτοί).</w:t>
      </w:r>
      <w:r w:rsidR="001C558F" w:rsidRPr="00556999">
        <w:rPr>
          <w:rFonts w:ascii="Arial Narrow" w:hAnsi="Arial Narrow"/>
          <w:b/>
        </w:rPr>
        <w:t xml:space="preserve"> </w:t>
      </w:r>
    </w:p>
    <w:p w:rsidR="00B640C8" w:rsidRPr="007155C3" w:rsidRDefault="00B640C8" w:rsidP="008F2928">
      <w:pPr>
        <w:tabs>
          <w:tab w:val="left" w:pos="8280"/>
        </w:tabs>
        <w:ind w:right="26"/>
        <w:jc w:val="both"/>
        <w:rPr>
          <w:rFonts w:ascii="Arial Narrow" w:hAnsi="Arial Narrow"/>
          <w:b/>
          <w:color w:val="FF0000"/>
        </w:rPr>
      </w:pPr>
    </w:p>
    <w:tbl>
      <w:tblPr>
        <w:tblW w:w="10822" w:type="dxa"/>
        <w:tblLayout w:type="fixed"/>
        <w:tblLook w:val="01E0" w:firstRow="1" w:lastRow="1" w:firstColumn="1" w:lastColumn="1" w:noHBand="0" w:noVBand="0"/>
      </w:tblPr>
      <w:tblGrid>
        <w:gridCol w:w="5328"/>
        <w:gridCol w:w="5494"/>
      </w:tblGrid>
      <w:tr w:rsidR="00B640C8" w:rsidRPr="008F2928" w:rsidTr="00AB640C">
        <w:tc>
          <w:tcPr>
            <w:tcW w:w="5328" w:type="dxa"/>
          </w:tcPr>
          <w:p w:rsidR="00B640C8" w:rsidRPr="00FE4445" w:rsidRDefault="00B640C8" w:rsidP="00FE4445">
            <w:pPr>
              <w:jc w:val="center"/>
              <w:rPr>
                <w:rFonts w:ascii="Arial Narrow" w:hAnsi="Arial Narrow"/>
                <w:b/>
                <w:bCs/>
                <w:sz w:val="20"/>
                <w:szCs w:val="20"/>
                <w:u w:val="single"/>
              </w:rPr>
            </w:pPr>
            <w:r>
              <w:rPr>
                <w:rFonts w:ascii="Arial Narrow" w:hAnsi="Arial Narrow"/>
                <w:b/>
                <w:bCs/>
                <w:sz w:val="20"/>
                <w:szCs w:val="20"/>
                <w:u w:val="single"/>
              </w:rPr>
              <w:t>ΔΙΑΓΡΑΜΜΑ 2</w:t>
            </w:r>
          </w:p>
        </w:tc>
        <w:tc>
          <w:tcPr>
            <w:tcW w:w="5494" w:type="dxa"/>
          </w:tcPr>
          <w:p w:rsidR="00B640C8" w:rsidRPr="00FE4445" w:rsidRDefault="00B640C8" w:rsidP="00AB640C">
            <w:pPr>
              <w:tabs>
                <w:tab w:val="left" w:pos="8280"/>
              </w:tabs>
              <w:ind w:right="26"/>
              <w:jc w:val="center"/>
              <w:rPr>
                <w:rFonts w:ascii="Arial Narrow" w:hAnsi="Arial Narrow"/>
                <w:b/>
                <w:sz w:val="20"/>
                <w:szCs w:val="20"/>
                <w:u w:val="single"/>
              </w:rPr>
            </w:pPr>
            <w:r>
              <w:rPr>
                <w:rFonts w:ascii="Arial Narrow" w:hAnsi="Arial Narrow"/>
                <w:b/>
                <w:sz w:val="20"/>
                <w:szCs w:val="20"/>
                <w:u w:val="single"/>
              </w:rPr>
              <w:t>ΔΙΑΓΡΑΜΜΑ 3</w:t>
            </w:r>
          </w:p>
        </w:tc>
      </w:tr>
      <w:tr w:rsidR="00B640C8" w:rsidRPr="008F2928" w:rsidTr="00F96AEC">
        <w:tc>
          <w:tcPr>
            <w:tcW w:w="5328" w:type="dxa"/>
          </w:tcPr>
          <w:p w:rsidR="00463686" w:rsidRPr="00BE275B" w:rsidRDefault="00B640C8" w:rsidP="00463686">
            <w:pPr>
              <w:rPr>
                <w:rFonts w:ascii="Arial Narrow" w:hAnsi="Arial Narrow"/>
                <w:b/>
                <w:bCs/>
                <w:sz w:val="16"/>
                <w:szCs w:val="16"/>
              </w:rPr>
            </w:pPr>
            <w:r w:rsidRPr="008F2928">
              <w:rPr>
                <w:rFonts w:ascii="Arial Narrow" w:hAnsi="Arial Narrow"/>
                <w:b/>
                <w:bCs/>
                <w:sz w:val="16"/>
                <w:szCs w:val="16"/>
              </w:rPr>
              <w:t xml:space="preserve">Θεωρείτε πιθανό ή όχι το ενδεχόμενο η επιχείρησή σας να έχει σοβαρό πρόβλημα λειτουργίας το επόμενο διάστημα σε βαθμό που θα κινδυνεύει να </w:t>
            </w:r>
          </w:p>
          <w:p w:rsidR="00B640C8" w:rsidRPr="00463686" w:rsidRDefault="00925A9D" w:rsidP="00A83D51">
            <w:pPr>
              <w:rPr>
                <w:rFonts w:ascii="Arial Narrow" w:hAnsi="Arial Narrow"/>
                <w:sz w:val="16"/>
                <w:szCs w:val="16"/>
              </w:rPr>
            </w:pPr>
            <w:r>
              <w:rPr>
                <w:rFonts w:ascii="Arial Narrow" w:hAnsi="Arial Narrow"/>
                <w:b/>
                <w:noProof/>
                <w:u w:val="single"/>
              </w:rPr>
              <w:drawing>
                <wp:anchor distT="0" distB="0" distL="114300" distR="114300" simplePos="0" relativeHeight="251666944" behindDoc="0" locked="0" layoutInCell="1" allowOverlap="1" wp14:anchorId="5EBF0933" wp14:editId="61D0D6EC">
                  <wp:simplePos x="0" y="0"/>
                  <wp:positionH relativeFrom="column">
                    <wp:posOffset>3308985</wp:posOffset>
                  </wp:positionH>
                  <wp:positionV relativeFrom="paragraph">
                    <wp:posOffset>71755</wp:posOffset>
                  </wp:positionV>
                  <wp:extent cx="3550920" cy="2748280"/>
                  <wp:effectExtent l="0" t="0" r="0" b="0"/>
                  <wp:wrapNone/>
                  <wp:docPr id="16" name="Γράφημα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82196A">
              <w:rPr>
                <w:rFonts w:ascii="Arial Narrow" w:hAnsi="Arial Narrow"/>
                <w:b/>
                <w:bCs/>
                <w:noProof/>
                <w:sz w:val="16"/>
                <w:szCs w:val="16"/>
              </w:rPr>
              <w:drawing>
                <wp:anchor distT="0" distB="0" distL="114300" distR="114300" simplePos="0" relativeHeight="251665920" behindDoc="0" locked="0" layoutInCell="1" allowOverlap="1" wp14:anchorId="71F78478" wp14:editId="3FA1F1AB">
                  <wp:simplePos x="0" y="0"/>
                  <wp:positionH relativeFrom="column">
                    <wp:posOffset>-135565</wp:posOffset>
                  </wp:positionH>
                  <wp:positionV relativeFrom="paragraph">
                    <wp:posOffset>277982</wp:posOffset>
                  </wp:positionV>
                  <wp:extent cx="3561907" cy="2806996"/>
                  <wp:effectExtent l="0" t="0" r="635" b="0"/>
                  <wp:wrapNone/>
                  <wp:docPr id="15" name="Γράφημα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17088F">
              <w:rPr>
                <w:noProof/>
              </w:rPr>
              <mc:AlternateContent>
                <mc:Choice Requires="wps">
                  <w:drawing>
                    <wp:anchor distT="0" distB="0" distL="114300" distR="114300" simplePos="0" relativeHeight="251657728" behindDoc="0" locked="0" layoutInCell="1" allowOverlap="1" wp14:anchorId="42C1138C" wp14:editId="0417C751">
                      <wp:simplePos x="0" y="0"/>
                      <wp:positionH relativeFrom="column">
                        <wp:posOffset>1690370</wp:posOffset>
                      </wp:positionH>
                      <wp:positionV relativeFrom="paragraph">
                        <wp:posOffset>426720</wp:posOffset>
                      </wp:positionV>
                      <wp:extent cx="1948180" cy="208280"/>
                      <wp:effectExtent l="57150" t="19050" r="71120" b="97155"/>
                      <wp:wrapNone/>
                      <wp:docPr id="10" name="10 - 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8180" cy="20828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C00536" w:rsidRPr="0044567F" w:rsidRDefault="00C00536" w:rsidP="0044567F">
                                  <w:pPr>
                                    <w:pStyle w:val="Web"/>
                                    <w:spacing w:before="0" w:beforeAutospacing="0" w:after="0" w:afterAutospacing="0"/>
                                    <w:jc w:val="center"/>
                                    <w:rPr>
                                      <w:sz w:val="14"/>
                                      <w:szCs w:val="14"/>
                                    </w:rPr>
                                  </w:pPr>
                                  <w:r>
                                    <w:rPr>
                                      <w:rFonts w:ascii="Tahoma" w:hAnsi="Tahoma" w:cs="Tahoma"/>
                                      <w:b/>
                                      <w:bCs/>
                                      <w:color w:val="FFFFFF"/>
                                      <w:sz w:val="14"/>
                                      <w:szCs w:val="14"/>
                                    </w:rPr>
                                    <w:t>Πολύ &amp; Αρκετά πιθανό: 32,9</w:t>
                                  </w:r>
                                  <w:r w:rsidRPr="0044567F">
                                    <w:rPr>
                                      <w:rFonts w:ascii="Tahoma" w:hAnsi="Tahoma" w:cs="Tahoma"/>
                                      <w:b/>
                                      <w:bCs/>
                                      <w:color w:val="FFFFFF"/>
                                      <w:sz w:val="14"/>
                                      <w:szCs w:val="14"/>
                                    </w:rPr>
                                    <w:t>%</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0 - TextBox" o:spid="_x0000_s1026" type="#_x0000_t202" style="position:absolute;margin-left:133.1pt;margin-top:33.6pt;width:153.4pt;height:1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" fillcolor="#9b2d2a" strokecolor="#be4b48">
                      <v:fill color2="#ce3b37" rotate="t" angle="180" colors="0 #9b2d2a;52429f #cb3d3a;1 #ce3b37" focus="100%" type="gradient">
                        <o:fill v:ext="view" type="gradientUnscaled"/>
                      </v:fill>
                      <v:shadow on="t" color="black" opacity="22937f" origin=",.5" offset="0,.63889mm"/>
                      <v:path arrowok="t"/>
                      <v:textbox style="mso-fit-shape-to-text:t">
                        <w:txbxContent>
                          <w:p w:rsidR="00C00536" w:rsidRPr="0044567F" w:rsidRDefault="00C00536" w:rsidP="0044567F">
                            <w:pPr>
                              <w:pStyle w:val="Web"/>
                              <w:spacing w:before="0" w:beforeAutospacing="0" w:after="0" w:afterAutospacing="0"/>
                              <w:jc w:val="center"/>
                              <w:rPr>
                                <w:sz w:val="14"/>
                                <w:szCs w:val="14"/>
                              </w:rPr>
                            </w:pPr>
                            <w:r>
                              <w:rPr>
                                <w:rFonts w:ascii="Tahoma" w:hAnsi="Tahoma" w:cs="Tahoma"/>
                                <w:b/>
                                <w:bCs/>
                                <w:color w:val="FFFFFF"/>
                                <w:sz w:val="14"/>
                                <w:szCs w:val="14"/>
                              </w:rPr>
                              <w:t>Πολύ &amp; Αρκετά πιθανό: 32,9</w:t>
                            </w:r>
                            <w:r w:rsidRPr="0044567F">
                              <w:rPr>
                                <w:rFonts w:ascii="Tahoma" w:hAnsi="Tahoma" w:cs="Tahoma"/>
                                <w:b/>
                                <w:bCs/>
                                <w:color w:val="FFFFFF"/>
                                <w:sz w:val="14"/>
                                <w:szCs w:val="14"/>
                              </w:rPr>
                              <w:t>%</w:t>
                            </w:r>
                          </w:p>
                        </w:txbxContent>
                      </v:textbox>
                    </v:shape>
                  </w:pict>
                </mc:Fallback>
              </mc:AlternateContent>
            </w:r>
            <w:r w:rsidR="0017088F">
              <w:rPr>
                <w:noProof/>
              </w:rPr>
              <mc:AlternateContent>
                <mc:Choice Requires="wps">
                  <w:drawing>
                    <wp:anchor distT="0" distB="0" distL="114300" distR="114300" simplePos="0" relativeHeight="251656704" behindDoc="0" locked="0" layoutInCell="1" allowOverlap="1" wp14:anchorId="1F461FA8" wp14:editId="60393078">
                      <wp:simplePos x="0" y="0"/>
                      <wp:positionH relativeFrom="column">
                        <wp:posOffset>-180975</wp:posOffset>
                      </wp:positionH>
                      <wp:positionV relativeFrom="paragraph">
                        <wp:posOffset>426720</wp:posOffset>
                      </wp:positionV>
                      <wp:extent cx="1565910" cy="294005"/>
                      <wp:effectExtent l="9525" t="8890" r="5715" b="20955"/>
                      <wp:wrapNone/>
                      <wp:docPr id="9" name="11 - 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294005"/>
                              </a:xfrm>
                              <a:prstGeom prst="rect">
                                <a:avLst/>
                              </a:prstGeom>
                              <a:gradFill rotWithShape="1">
                                <a:gsLst>
                                  <a:gs pos="0">
                                    <a:srgbClr val="769535"/>
                                  </a:gs>
                                  <a:gs pos="80000">
                                    <a:srgbClr val="9BC348"/>
                                  </a:gs>
                                  <a:gs pos="100000">
                                    <a:srgbClr val="9CC746"/>
                                  </a:gs>
                                </a:gsLst>
                                <a:lin ang="16200000"/>
                              </a:gradFill>
                              <a:ln w="9525">
                                <a:solidFill>
                                  <a:srgbClr val="98B954"/>
                                </a:solidFill>
                                <a:miter lim="800000"/>
                                <a:headEnd/>
                                <a:tailEnd/>
                              </a:ln>
                              <a:effectLst>
                                <a:outerShdw dist="23000" dir="5400000" rotWithShape="0">
                                  <a:srgbClr val="000000">
                                    <a:alpha val="34999"/>
                                  </a:srgbClr>
                                </a:outerShdw>
                              </a:effectLst>
                            </wps:spPr>
                            <wps:txbx>
                              <w:txbxContent>
                                <w:p w:rsidR="00C00536" w:rsidRPr="0044567F" w:rsidRDefault="00C00536" w:rsidP="0044567F">
                                  <w:pPr>
                                    <w:pStyle w:val="Web"/>
                                    <w:spacing w:before="0" w:beforeAutospacing="0" w:after="0" w:afterAutospacing="0"/>
                                    <w:jc w:val="center"/>
                                    <w:rPr>
                                      <w:sz w:val="14"/>
                                      <w:szCs w:val="14"/>
                                    </w:rPr>
                                  </w:pPr>
                                  <w:r w:rsidRPr="0044567F">
                                    <w:rPr>
                                      <w:rFonts w:ascii="Tahoma" w:hAnsi="Tahoma" w:cs="Tahoma"/>
                                      <w:b/>
                                      <w:bCs/>
                                      <w:color w:val="FFFFFF"/>
                                      <w:sz w:val="14"/>
                                      <w:szCs w:val="14"/>
                                    </w:rPr>
                                    <w:t xml:space="preserve">Ελάχιστα &amp; Καθόλου πιθανό : </w:t>
                                  </w:r>
                                  <w:r>
                                    <w:rPr>
                                      <w:rFonts w:ascii="Tahoma" w:hAnsi="Tahoma" w:cs="Tahoma"/>
                                      <w:b/>
                                      <w:bCs/>
                                      <w:color w:val="FFFFFF"/>
                                      <w:sz w:val="14"/>
                                      <w:szCs w:val="14"/>
                                    </w:rPr>
                                    <w:t>65</w:t>
                                  </w:r>
                                  <w:r w:rsidRPr="0044567F">
                                    <w:rPr>
                                      <w:rFonts w:ascii="Tahoma" w:hAnsi="Tahoma" w:cs="Tahoma"/>
                                      <w:b/>
                                      <w:bCs/>
                                      <w:color w:val="FFFFFF"/>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11 - TextBox" o:spid="_x0000_s1027" type="#_x0000_t202" style="position:absolute;margin-left:-14.25pt;margin-top:33.6pt;width:123.3pt;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" fillcolor="#769535" strokecolor="#98b954">
                      <v:fill color2="#9cc746" rotate="t" angle="180" colors="0 #769535;52429f #9bc348;1 #9cc746" focus="100%" type="gradient">
                        <o:fill v:ext="view" type="gradientUnscaled"/>
                      </v:fill>
                      <v:shadow on="t" color="black" opacity="22936f" origin=",.5" offset="0,.63889mm"/>
                      <v:textbox>
                        <w:txbxContent>
                          <w:p w:rsidR="00C00536" w:rsidRPr="0044567F" w:rsidRDefault="00C00536" w:rsidP="0044567F">
                            <w:pPr>
                              <w:pStyle w:val="Web"/>
                              <w:spacing w:before="0" w:beforeAutospacing="0" w:after="0" w:afterAutospacing="0"/>
                              <w:jc w:val="center"/>
                              <w:rPr>
                                <w:sz w:val="14"/>
                                <w:szCs w:val="14"/>
                              </w:rPr>
                            </w:pPr>
                            <w:r w:rsidRPr="0044567F">
                              <w:rPr>
                                <w:rFonts w:ascii="Tahoma" w:hAnsi="Tahoma" w:cs="Tahoma"/>
                                <w:b/>
                                <w:bCs/>
                                <w:color w:val="FFFFFF"/>
                                <w:sz w:val="14"/>
                                <w:szCs w:val="14"/>
                              </w:rPr>
                              <w:t xml:space="preserve">Ελάχιστα &amp; Καθόλου πιθανό : </w:t>
                            </w:r>
                            <w:r>
                              <w:rPr>
                                <w:rFonts w:ascii="Tahoma" w:hAnsi="Tahoma" w:cs="Tahoma"/>
                                <w:b/>
                                <w:bCs/>
                                <w:color w:val="FFFFFF"/>
                                <w:sz w:val="14"/>
                                <w:szCs w:val="14"/>
                              </w:rPr>
                              <w:t>65</w:t>
                            </w:r>
                            <w:r w:rsidRPr="0044567F">
                              <w:rPr>
                                <w:rFonts w:ascii="Tahoma" w:hAnsi="Tahoma" w:cs="Tahoma"/>
                                <w:b/>
                                <w:bCs/>
                                <w:color w:val="FFFFFF"/>
                                <w:sz w:val="14"/>
                                <w:szCs w:val="14"/>
                              </w:rPr>
                              <w:t>%</w:t>
                            </w:r>
                          </w:p>
                        </w:txbxContent>
                      </v:textbox>
                    </v:shape>
                  </w:pict>
                </mc:Fallback>
              </mc:AlternateContent>
            </w:r>
            <w:r w:rsidR="00B640C8" w:rsidRPr="008F2928">
              <w:rPr>
                <w:rFonts w:ascii="Arial Narrow" w:hAnsi="Arial Narrow"/>
                <w:b/>
                <w:bCs/>
                <w:sz w:val="16"/>
                <w:szCs w:val="16"/>
              </w:rPr>
              <w:t>κλείσει;</w:t>
            </w:r>
            <w:r w:rsidR="00A83D51" w:rsidRPr="00463686">
              <w:rPr>
                <w:rFonts w:ascii="Arial Narrow" w:hAnsi="Arial Narrow"/>
                <w:b/>
              </w:rPr>
              <w:t xml:space="preserve"> </w:t>
            </w:r>
          </w:p>
        </w:tc>
        <w:tc>
          <w:tcPr>
            <w:tcW w:w="5494" w:type="dxa"/>
          </w:tcPr>
          <w:p w:rsidR="00B640C8" w:rsidRPr="008F2928" w:rsidRDefault="00B640C8" w:rsidP="00C64340">
            <w:pPr>
              <w:tabs>
                <w:tab w:val="left" w:pos="8280"/>
              </w:tabs>
              <w:ind w:right="26"/>
              <w:jc w:val="center"/>
              <w:rPr>
                <w:rFonts w:ascii="Arial Narrow" w:hAnsi="Arial Narrow"/>
                <w:b/>
                <w:sz w:val="16"/>
                <w:szCs w:val="16"/>
              </w:rPr>
            </w:pPr>
            <w:r w:rsidRPr="008F2928">
              <w:rPr>
                <w:rFonts w:ascii="Arial Narrow" w:hAnsi="Arial Narrow"/>
                <w:b/>
                <w:sz w:val="16"/>
                <w:szCs w:val="16"/>
              </w:rPr>
              <w:t>Φόβος για ενδεχόμενο κλείσιμο της επιχείρησης</w:t>
            </w:r>
          </w:p>
          <w:p w:rsidR="00B640C8" w:rsidRPr="008F2928" w:rsidRDefault="00B640C8" w:rsidP="00C64340">
            <w:pPr>
              <w:tabs>
                <w:tab w:val="left" w:pos="8280"/>
              </w:tabs>
              <w:ind w:right="26"/>
              <w:jc w:val="center"/>
              <w:rPr>
                <w:rFonts w:ascii="Arial Narrow" w:hAnsi="Arial Narrow"/>
                <w:sz w:val="16"/>
                <w:szCs w:val="16"/>
              </w:rPr>
            </w:pPr>
            <w:r w:rsidRPr="008F2928">
              <w:rPr>
                <w:rFonts w:ascii="Arial Narrow" w:hAnsi="Arial Narrow"/>
                <w:sz w:val="16"/>
                <w:szCs w:val="16"/>
              </w:rPr>
              <w:t>Συγκριτικό Γράφημα</w:t>
            </w:r>
          </w:p>
          <w:p w:rsidR="00B640C8" w:rsidRDefault="00B640C8" w:rsidP="00C64340">
            <w:pPr>
              <w:tabs>
                <w:tab w:val="left" w:pos="8280"/>
              </w:tabs>
              <w:ind w:right="26"/>
              <w:jc w:val="both"/>
              <w:rPr>
                <w:rFonts w:ascii="Arial Narrow" w:hAnsi="Arial Narrow"/>
                <w:b/>
              </w:rPr>
            </w:pPr>
          </w:p>
          <w:p w:rsidR="00B640C8" w:rsidRPr="00B81A98" w:rsidRDefault="00B640C8" w:rsidP="00C64340">
            <w:pPr>
              <w:tabs>
                <w:tab w:val="left" w:pos="8280"/>
              </w:tabs>
              <w:ind w:right="26"/>
              <w:jc w:val="both"/>
              <w:rPr>
                <w:rFonts w:ascii="Arial Narrow" w:hAnsi="Arial Narrow"/>
                <w:b/>
              </w:rPr>
            </w:pPr>
          </w:p>
        </w:tc>
      </w:tr>
    </w:tbl>
    <w:p w:rsidR="0044567F" w:rsidRDefault="0044567F" w:rsidP="00232E82">
      <w:pPr>
        <w:jc w:val="both"/>
        <w:rPr>
          <w:rFonts w:ascii="Arial Narrow" w:hAnsi="Arial Narrow"/>
          <w:b/>
          <w:u w:val="single"/>
        </w:rPr>
      </w:pPr>
    </w:p>
    <w:p w:rsidR="0044567F" w:rsidRDefault="0044567F"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B640C8" w:rsidRPr="008F2928" w:rsidRDefault="004B04BD" w:rsidP="00232E82">
      <w:pPr>
        <w:jc w:val="both"/>
        <w:rPr>
          <w:rFonts w:ascii="Arial Narrow" w:hAnsi="Arial Narrow"/>
          <w:b/>
          <w:u w:val="single"/>
        </w:rPr>
      </w:pPr>
      <w:r>
        <w:rPr>
          <w:rFonts w:ascii="Arial Narrow" w:hAnsi="Arial Narrow"/>
          <w:b/>
          <w:u w:val="single"/>
        </w:rPr>
        <w:t>ΠΡΟΒΛΕΨΕΙΣ ΓΙΑ ΤΟ 1ο ΕΞΑΜΗΝΟ 2015</w:t>
      </w:r>
    </w:p>
    <w:p w:rsidR="00B640C8" w:rsidRPr="008F2928" w:rsidRDefault="00B640C8" w:rsidP="008F2928">
      <w:pPr>
        <w:jc w:val="both"/>
        <w:rPr>
          <w:rFonts w:ascii="Arial Narrow" w:hAnsi="Arial Narrow"/>
          <w:b/>
          <w:highlight w:val="yellow"/>
        </w:rPr>
      </w:pPr>
    </w:p>
    <w:p w:rsidR="00EB7B15" w:rsidRDefault="00B640C8" w:rsidP="00ED2638">
      <w:pPr>
        <w:ind w:firstLine="720"/>
        <w:jc w:val="both"/>
        <w:rPr>
          <w:rFonts w:ascii="Arial Narrow" w:hAnsi="Arial Narrow"/>
        </w:rPr>
      </w:pPr>
      <w:r w:rsidRPr="008F2928">
        <w:rPr>
          <w:rFonts w:ascii="Arial Narrow" w:hAnsi="Arial Narrow"/>
        </w:rPr>
        <w:t>Οι προβλέψεις σχετικά με την πορεία των επιχειρήσεων το επόμενο εξάμηνο</w:t>
      </w:r>
      <w:r>
        <w:rPr>
          <w:rFonts w:ascii="Arial Narrow" w:hAnsi="Arial Narrow"/>
        </w:rPr>
        <w:t xml:space="preserve"> </w:t>
      </w:r>
      <w:r w:rsidR="00AE61C4">
        <w:rPr>
          <w:rFonts w:ascii="Arial Narrow" w:hAnsi="Arial Narrow"/>
        </w:rPr>
        <w:t>αποτυπώνουν</w:t>
      </w:r>
      <w:r w:rsidR="00B63D20">
        <w:rPr>
          <w:rFonts w:ascii="Arial Narrow" w:hAnsi="Arial Narrow"/>
        </w:rPr>
        <w:t xml:space="preserve"> - σε όλους τους οικονομικούς δείκτες- </w:t>
      </w:r>
      <w:r w:rsidR="007155C3">
        <w:rPr>
          <w:rFonts w:ascii="Arial Narrow" w:hAnsi="Arial Narrow"/>
        </w:rPr>
        <w:t xml:space="preserve">ένα κλίμα αισιοδοξίας που συνοδεύεται από την </w:t>
      </w:r>
      <w:r w:rsidR="00D813B1">
        <w:rPr>
          <w:rFonts w:ascii="Arial Narrow" w:hAnsi="Arial Narrow"/>
        </w:rPr>
        <w:t>πραγματική</w:t>
      </w:r>
      <w:r w:rsidR="007155C3">
        <w:rPr>
          <w:rFonts w:ascii="Arial Narrow" w:hAnsi="Arial Narrow"/>
        </w:rPr>
        <w:t xml:space="preserve"> αγωνία για την επόμενη ημέρα της ελληνικής οικονομίας και </w:t>
      </w:r>
      <w:r w:rsidR="00F77B83">
        <w:rPr>
          <w:rFonts w:ascii="Arial Narrow" w:hAnsi="Arial Narrow"/>
        </w:rPr>
        <w:t>για το οικονομικό περιβάλλον</w:t>
      </w:r>
      <w:r w:rsidR="00D441B3">
        <w:rPr>
          <w:rFonts w:ascii="Arial Narrow" w:hAnsi="Arial Narrow"/>
        </w:rPr>
        <w:t xml:space="preserve"> μέσα στο οποίο</w:t>
      </w:r>
      <w:r w:rsidR="00BE7AEC">
        <w:rPr>
          <w:rFonts w:ascii="Arial Narrow" w:hAnsi="Arial Narrow"/>
        </w:rPr>
        <w:t xml:space="preserve"> δρ</w:t>
      </w:r>
      <w:r w:rsidR="00D441B3">
        <w:rPr>
          <w:rFonts w:ascii="Arial Narrow" w:hAnsi="Arial Narrow"/>
        </w:rPr>
        <w:t>αστηριοποιούνται</w:t>
      </w:r>
      <w:r w:rsidR="007155C3">
        <w:rPr>
          <w:rFonts w:ascii="Arial Narrow" w:hAnsi="Arial Narrow"/>
        </w:rPr>
        <w:t xml:space="preserve"> οι </w:t>
      </w:r>
      <w:r w:rsidR="00D813B1">
        <w:rPr>
          <w:rFonts w:ascii="Arial Narrow" w:hAnsi="Arial Narrow"/>
        </w:rPr>
        <w:t>μικρές επιχειρήσεις</w:t>
      </w:r>
      <w:r w:rsidR="00F77B83">
        <w:rPr>
          <w:rFonts w:ascii="Arial Narrow" w:hAnsi="Arial Narrow"/>
        </w:rPr>
        <w:t>.</w:t>
      </w:r>
      <w:r w:rsidR="00ED2638">
        <w:rPr>
          <w:rFonts w:ascii="Arial Narrow" w:hAnsi="Arial Narrow"/>
        </w:rPr>
        <w:t xml:space="preserve"> </w:t>
      </w:r>
      <w:r w:rsidR="00A83D51" w:rsidRPr="00A83D51">
        <w:rPr>
          <w:rFonts w:ascii="Arial Narrow" w:hAnsi="Arial Narrow"/>
        </w:rPr>
        <w:t xml:space="preserve">Οι επιχειρηματικές προσδοκίες για το </w:t>
      </w:r>
      <w:r w:rsidR="007155C3">
        <w:rPr>
          <w:rFonts w:ascii="Arial Narrow" w:hAnsi="Arial Narrow"/>
        </w:rPr>
        <w:t>πρώτο</w:t>
      </w:r>
      <w:r w:rsidR="00A83D51" w:rsidRPr="00A83D51">
        <w:rPr>
          <w:rFonts w:ascii="Arial Narrow" w:hAnsi="Arial Narrow"/>
        </w:rPr>
        <w:t xml:space="preserve"> εξάμηνο το</w:t>
      </w:r>
      <w:r w:rsidR="007155C3">
        <w:rPr>
          <w:rFonts w:ascii="Arial Narrow" w:hAnsi="Arial Narrow"/>
        </w:rPr>
        <w:t>υ 2015</w:t>
      </w:r>
      <w:r w:rsidR="00CD3C5A">
        <w:rPr>
          <w:rFonts w:ascii="Arial Narrow" w:hAnsi="Arial Narrow"/>
        </w:rPr>
        <w:t xml:space="preserve"> </w:t>
      </w:r>
      <w:r w:rsidR="007155C3">
        <w:rPr>
          <w:rFonts w:ascii="Arial Narrow" w:hAnsi="Arial Narrow"/>
        </w:rPr>
        <w:t>παραμένουν</w:t>
      </w:r>
      <w:r w:rsidR="00CD3C5A">
        <w:rPr>
          <w:rFonts w:ascii="Arial Narrow" w:hAnsi="Arial Narrow"/>
        </w:rPr>
        <w:t xml:space="preserve"> αρνητικές</w:t>
      </w:r>
      <w:r w:rsidR="00B63D20">
        <w:rPr>
          <w:rFonts w:ascii="Arial Narrow" w:hAnsi="Arial Narrow"/>
        </w:rPr>
        <w:t>, ωστόσο η αποκλιμάκωση είναι σημαντική</w:t>
      </w:r>
      <w:r w:rsidR="00CD3C5A">
        <w:rPr>
          <w:rFonts w:ascii="Arial Narrow" w:hAnsi="Arial Narrow"/>
        </w:rPr>
        <w:t xml:space="preserve"> (</w:t>
      </w:r>
      <w:r w:rsidR="00B63D20">
        <w:rPr>
          <w:rFonts w:ascii="Arial Narrow" w:hAnsi="Arial Narrow"/>
        </w:rPr>
        <w:t>-7,2</w:t>
      </w:r>
      <w:r w:rsidR="007155C3">
        <w:rPr>
          <w:rFonts w:ascii="Arial Narrow" w:hAnsi="Arial Narrow"/>
        </w:rPr>
        <w:t xml:space="preserve">% έναντι </w:t>
      </w:r>
      <w:r w:rsidR="00B63D20">
        <w:rPr>
          <w:rFonts w:ascii="Arial Narrow" w:hAnsi="Arial Narrow"/>
        </w:rPr>
        <w:t>-44,8</w:t>
      </w:r>
      <w:r w:rsidR="007155C3">
        <w:rPr>
          <w:rFonts w:ascii="Arial Narrow" w:hAnsi="Arial Narrow"/>
        </w:rPr>
        <w:t>% στη μέτρηση του Ιουλίου 2014 και</w:t>
      </w:r>
      <w:r w:rsidR="00F77B83">
        <w:rPr>
          <w:rFonts w:ascii="Arial Narrow" w:hAnsi="Arial Narrow"/>
        </w:rPr>
        <w:t xml:space="preserve"> </w:t>
      </w:r>
      <w:r w:rsidR="00B63D20">
        <w:rPr>
          <w:rFonts w:ascii="Arial Narrow" w:hAnsi="Arial Narrow"/>
        </w:rPr>
        <w:t>-44,4</w:t>
      </w:r>
      <w:r w:rsidR="00CD3C5A">
        <w:rPr>
          <w:rFonts w:ascii="Arial Narrow" w:hAnsi="Arial Narrow"/>
        </w:rPr>
        <w:t>%</w:t>
      </w:r>
      <w:r w:rsidR="00C53A06">
        <w:rPr>
          <w:rFonts w:ascii="Arial Narrow" w:hAnsi="Arial Narrow"/>
        </w:rPr>
        <w:t xml:space="preserve"> στην προηγούμενη μέτρηση Φεβρουαρίου 2014</w:t>
      </w:r>
      <w:r w:rsidR="00CD3C5A">
        <w:rPr>
          <w:rFonts w:ascii="Arial Narrow" w:hAnsi="Arial Narrow"/>
        </w:rPr>
        <w:t>).</w:t>
      </w:r>
      <w:r w:rsidR="00B63D20">
        <w:rPr>
          <w:rFonts w:ascii="Arial Narrow" w:hAnsi="Arial Narrow"/>
        </w:rPr>
        <w:t xml:space="preserve"> Τούτο αντανακλά </w:t>
      </w:r>
      <w:r w:rsidR="00D813B1">
        <w:rPr>
          <w:rFonts w:ascii="Arial Narrow" w:hAnsi="Arial Narrow"/>
        </w:rPr>
        <w:t xml:space="preserve">εν μέρει </w:t>
      </w:r>
      <w:r w:rsidR="00631E3B">
        <w:rPr>
          <w:rFonts w:ascii="Arial Narrow" w:hAnsi="Arial Narrow"/>
        </w:rPr>
        <w:t xml:space="preserve">το </w:t>
      </w:r>
      <w:r w:rsidR="00D813B1">
        <w:rPr>
          <w:rFonts w:ascii="Arial Narrow" w:hAnsi="Arial Narrow"/>
        </w:rPr>
        <w:t xml:space="preserve">θετικό </w:t>
      </w:r>
      <w:r w:rsidR="00631E3B">
        <w:rPr>
          <w:rFonts w:ascii="Arial Narrow" w:hAnsi="Arial Narrow"/>
        </w:rPr>
        <w:t xml:space="preserve">κλίμα που προέκυψε </w:t>
      </w:r>
      <w:r w:rsidR="00B63D20">
        <w:rPr>
          <w:rFonts w:ascii="Arial Narrow" w:hAnsi="Arial Narrow"/>
        </w:rPr>
        <w:t>από τη νέα πολιτική πραγματικότητα</w:t>
      </w:r>
      <w:r w:rsidR="00631E3B">
        <w:rPr>
          <w:rFonts w:ascii="Arial Narrow" w:hAnsi="Arial Narrow"/>
        </w:rPr>
        <w:t xml:space="preserve">, αλλά και τις προσδοκίες για σημαντικές μεταρρυθμιστικές τομές και επίλυση των </w:t>
      </w:r>
      <w:r w:rsidR="00D813B1">
        <w:rPr>
          <w:rFonts w:ascii="Arial Narrow" w:hAnsi="Arial Narrow"/>
        </w:rPr>
        <w:t>σοβαρών προβλημάτων υπερχρέωσης και έλλειψης ρευστότητας.</w:t>
      </w:r>
      <w:r w:rsidR="00B63D20">
        <w:rPr>
          <w:rFonts w:ascii="Arial Narrow" w:hAnsi="Arial Narrow"/>
        </w:rPr>
        <w:t xml:space="preserve"> </w:t>
      </w:r>
      <w:r w:rsidR="00F318DB">
        <w:rPr>
          <w:rFonts w:ascii="Arial Narrow" w:hAnsi="Arial Narrow"/>
        </w:rPr>
        <w:t xml:space="preserve"> </w:t>
      </w:r>
      <w:r w:rsidR="00CD3C5A">
        <w:rPr>
          <w:rFonts w:ascii="Arial Narrow" w:hAnsi="Arial Narrow"/>
        </w:rPr>
        <w:t xml:space="preserve"> </w:t>
      </w:r>
    </w:p>
    <w:p w:rsidR="00A83D51" w:rsidRPr="00D813B1" w:rsidRDefault="00D813B1" w:rsidP="00131057">
      <w:pPr>
        <w:jc w:val="both"/>
        <w:rPr>
          <w:rFonts w:ascii="Arial Narrow" w:hAnsi="Arial Narrow"/>
        </w:rPr>
      </w:pPr>
      <w:r>
        <w:rPr>
          <w:rFonts w:ascii="Arial Narrow" w:hAnsi="Arial Narrow"/>
        </w:rPr>
        <w:t>Ωστόσο</w:t>
      </w:r>
      <w:r w:rsidR="00EB7B15">
        <w:rPr>
          <w:rFonts w:ascii="Arial Narrow" w:hAnsi="Arial Narrow"/>
        </w:rPr>
        <w:t>, σ</w:t>
      </w:r>
      <w:r w:rsidR="00EB7B15" w:rsidRPr="0096076B">
        <w:rPr>
          <w:rFonts w:ascii="Arial Narrow" w:hAnsi="Arial Narrow"/>
        </w:rPr>
        <w:t>ε</w:t>
      </w:r>
      <w:r w:rsidR="00B63D20">
        <w:rPr>
          <w:rFonts w:ascii="Arial Narrow" w:hAnsi="Arial Narrow"/>
        </w:rPr>
        <w:t xml:space="preserve"> όλους τους δείκτες οικονομικών προσδοκιών καταγράφον</w:t>
      </w:r>
      <w:r w:rsidR="00EB7B15">
        <w:rPr>
          <w:rFonts w:ascii="Arial Narrow" w:hAnsi="Arial Narrow"/>
        </w:rPr>
        <w:t xml:space="preserve">ται </w:t>
      </w:r>
      <w:r w:rsidR="00B63D20">
        <w:rPr>
          <w:rFonts w:ascii="Arial Narrow" w:hAnsi="Arial Narrow"/>
        </w:rPr>
        <w:t>αρνητικές επιδόσεις</w:t>
      </w:r>
      <w:r w:rsidR="00F77B83">
        <w:rPr>
          <w:rFonts w:ascii="Arial Narrow" w:hAnsi="Arial Narrow"/>
        </w:rPr>
        <w:t xml:space="preserve"> και </w:t>
      </w:r>
      <w:r w:rsidR="00EB7B15">
        <w:rPr>
          <w:rFonts w:ascii="Arial Narrow" w:hAnsi="Arial Narrow"/>
        </w:rPr>
        <w:t xml:space="preserve">απαισιοδοξία για πάνω από </w:t>
      </w:r>
      <w:r w:rsidR="00B63D20">
        <w:rPr>
          <w:rFonts w:ascii="Arial Narrow" w:hAnsi="Arial Narrow"/>
        </w:rPr>
        <w:t>1 στις 3</w:t>
      </w:r>
      <w:r w:rsidR="00EB7B15">
        <w:rPr>
          <w:rFonts w:ascii="Arial Narrow" w:hAnsi="Arial Narrow"/>
        </w:rPr>
        <w:t xml:space="preserve"> επιχειρήσεις. </w:t>
      </w:r>
      <w:r w:rsidR="00A83D51" w:rsidRPr="00D441B3">
        <w:rPr>
          <w:rFonts w:ascii="Arial Narrow" w:hAnsi="Arial Narrow"/>
        </w:rPr>
        <w:t>Σημειώνεται ότι ο</w:t>
      </w:r>
      <w:r w:rsidR="00B640C8" w:rsidRPr="00D441B3">
        <w:rPr>
          <w:rFonts w:ascii="Arial Narrow" w:hAnsi="Arial Narrow"/>
        </w:rPr>
        <w:t xml:space="preserve"> βαθμός απαισιοδοξίας είναι μεγαλύτερος στις </w:t>
      </w:r>
      <w:r w:rsidR="00B63D20">
        <w:rPr>
          <w:rFonts w:ascii="Arial Narrow" w:hAnsi="Arial Narrow"/>
        </w:rPr>
        <w:t>πολύ</w:t>
      </w:r>
      <w:r w:rsidR="00B640C8" w:rsidRPr="00D441B3">
        <w:rPr>
          <w:rFonts w:ascii="Arial Narrow" w:hAnsi="Arial Narrow"/>
        </w:rPr>
        <w:t xml:space="preserve"> μικρές επιχειρήσεις του δείγματος.</w:t>
      </w:r>
    </w:p>
    <w:p w:rsidR="00490F37" w:rsidRDefault="00490F37" w:rsidP="008F2928">
      <w:pPr>
        <w:jc w:val="both"/>
        <w:rPr>
          <w:rFonts w:ascii="Arial Narrow" w:hAnsi="Arial Narrow"/>
        </w:rPr>
      </w:pPr>
    </w:p>
    <w:p w:rsidR="00B640C8" w:rsidRDefault="00A83D51" w:rsidP="008F2928">
      <w:pPr>
        <w:jc w:val="both"/>
        <w:rPr>
          <w:rFonts w:ascii="Arial Narrow" w:hAnsi="Arial Narrow"/>
        </w:rPr>
      </w:pPr>
      <w:r>
        <w:rPr>
          <w:rFonts w:ascii="Arial Narrow" w:hAnsi="Arial Narrow"/>
        </w:rPr>
        <w:t>Στους ειδικότερους δείκτες</w:t>
      </w:r>
      <w:r w:rsidR="00B640C8">
        <w:rPr>
          <w:rFonts w:ascii="Arial Narrow" w:hAnsi="Arial Narrow"/>
        </w:rPr>
        <w:t xml:space="preserve">, </w:t>
      </w:r>
      <w:r w:rsidR="00D813B1">
        <w:rPr>
          <w:rFonts w:ascii="Arial Narrow" w:hAnsi="Arial Narrow"/>
        </w:rPr>
        <w:t>το ισοζύγιο θετικών- αρνητικών προσδοκιών που προβλέπεται για το επόμενο εξάμηνο είναι</w:t>
      </w:r>
      <w:r w:rsidR="00B640C8" w:rsidRPr="008F2928">
        <w:rPr>
          <w:rFonts w:ascii="Arial Narrow" w:hAnsi="Arial Narrow"/>
        </w:rPr>
        <w:t>:</w:t>
      </w:r>
    </w:p>
    <w:p w:rsidR="00B640C8" w:rsidRPr="008F2928" w:rsidRDefault="00B640C8" w:rsidP="008F2928">
      <w:pPr>
        <w:jc w:val="both"/>
        <w:rPr>
          <w:rFonts w:ascii="Arial Narrow" w:hAnsi="Arial Narrow"/>
        </w:rPr>
      </w:pPr>
    </w:p>
    <w:p w:rsidR="00B640C8" w:rsidRPr="00C53A06" w:rsidRDefault="00D813B1" w:rsidP="00D156EE">
      <w:pPr>
        <w:numPr>
          <w:ilvl w:val="0"/>
          <w:numId w:val="3"/>
        </w:numPr>
        <w:jc w:val="both"/>
        <w:rPr>
          <w:rFonts w:ascii="Arial Narrow" w:hAnsi="Arial Narrow"/>
          <w:b/>
        </w:rPr>
      </w:pPr>
      <w:r>
        <w:rPr>
          <w:rFonts w:ascii="Arial Narrow" w:hAnsi="Arial Narrow"/>
          <w:b/>
        </w:rPr>
        <w:lastRenderedPageBreak/>
        <w:t>στον κύκλο εργασιών, -12,3 από -39,0 στο προηγούμενο εξάμηνο</w:t>
      </w:r>
    </w:p>
    <w:p w:rsidR="00B640C8" w:rsidRPr="00C53A06" w:rsidRDefault="00B640C8" w:rsidP="00D156EE">
      <w:pPr>
        <w:numPr>
          <w:ilvl w:val="0"/>
          <w:numId w:val="3"/>
        </w:numPr>
        <w:jc w:val="both"/>
        <w:rPr>
          <w:rFonts w:ascii="Arial Narrow" w:hAnsi="Arial Narrow"/>
          <w:b/>
        </w:rPr>
      </w:pPr>
      <w:r w:rsidRPr="00C53A06">
        <w:rPr>
          <w:rFonts w:ascii="Arial Narrow" w:hAnsi="Arial Narrow"/>
          <w:b/>
        </w:rPr>
        <w:t xml:space="preserve">στη ζήτηση το </w:t>
      </w:r>
      <w:r w:rsidR="00D813B1">
        <w:rPr>
          <w:rFonts w:ascii="Arial Narrow" w:hAnsi="Arial Narrow"/>
          <w:b/>
        </w:rPr>
        <w:t>-11,0 από -38,3 στο προηγούμενο εξάμηνο</w:t>
      </w:r>
    </w:p>
    <w:p w:rsidR="00B640C8" w:rsidRPr="00C53A06" w:rsidRDefault="00D813B1" w:rsidP="00D156EE">
      <w:pPr>
        <w:numPr>
          <w:ilvl w:val="0"/>
          <w:numId w:val="3"/>
        </w:numPr>
        <w:jc w:val="both"/>
        <w:rPr>
          <w:rFonts w:ascii="Arial Narrow" w:hAnsi="Arial Narrow"/>
          <w:b/>
        </w:rPr>
      </w:pPr>
      <w:r>
        <w:rPr>
          <w:rFonts w:ascii="Arial Narrow" w:hAnsi="Arial Narrow"/>
          <w:b/>
        </w:rPr>
        <w:t xml:space="preserve">στη ρευστότητα -17,0 από -42,2 </w:t>
      </w:r>
      <w:r w:rsidR="00B640C8" w:rsidRPr="00C53A06">
        <w:rPr>
          <w:rFonts w:ascii="Arial Narrow" w:hAnsi="Arial Narrow"/>
          <w:b/>
        </w:rPr>
        <w:t xml:space="preserve"> </w:t>
      </w:r>
      <w:r>
        <w:rPr>
          <w:rFonts w:ascii="Arial Narrow" w:hAnsi="Arial Narrow"/>
          <w:b/>
        </w:rPr>
        <w:t>στο προηγούμενο εξάμηνο</w:t>
      </w:r>
    </w:p>
    <w:p w:rsidR="00B640C8" w:rsidRPr="00C53A06" w:rsidRDefault="00B640C8" w:rsidP="00D156EE">
      <w:pPr>
        <w:numPr>
          <w:ilvl w:val="0"/>
          <w:numId w:val="3"/>
        </w:numPr>
        <w:jc w:val="both"/>
        <w:rPr>
          <w:rFonts w:ascii="Arial Narrow" w:hAnsi="Arial Narrow"/>
          <w:b/>
        </w:rPr>
      </w:pPr>
      <w:r w:rsidRPr="00C53A06">
        <w:rPr>
          <w:rFonts w:ascii="Arial Narrow" w:hAnsi="Arial Narrow"/>
          <w:b/>
        </w:rPr>
        <w:t xml:space="preserve">στις παραγγελίες </w:t>
      </w:r>
      <w:r w:rsidR="00D813B1">
        <w:rPr>
          <w:rFonts w:ascii="Arial Narrow" w:hAnsi="Arial Narrow"/>
          <w:b/>
        </w:rPr>
        <w:t>-15,8 από -41,2</w:t>
      </w:r>
      <w:r w:rsidRPr="00C53A06">
        <w:rPr>
          <w:rFonts w:ascii="Arial Narrow" w:hAnsi="Arial Narrow"/>
          <w:b/>
        </w:rPr>
        <w:t xml:space="preserve"> </w:t>
      </w:r>
    </w:p>
    <w:p w:rsidR="00B640C8" w:rsidRPr="00C53A06" w:rsidRDefault="00B640C8" w:rsidP="00D156EE">
      <w:pPr>
        <w:numPr>
          <w:ilvl w:val="0"/>
          <w:numId w:val="3"/>
        </w:numPr>
        <w:jc w:val="both"/>
        <w:rPr>
          <w:rFonts w:ascii="Arial Narrow" w:hAnsi="Arial Narrow"/>
          <w:b/>
        </w:rPr>
      </w:pPr>
      <w:r w:rsidRPr="00C53A06">
        <w:rPr>
          <w:rFonts w:ascii="Arial Narrow" w:hAnsi="Arial Narrow"/>
          <w:b/>
        </w:rPr>
        <w:t xml:space="preserve">στις επενδύσεις: αύξηση προβλέπει το </w:t>
      </w:r>
      <w:r w:rsidR="00D813B1">
        <w:rPr>
          <w:rFonts w:ascii="Arial Narrow" w:hAnsi="Arial Narrow"/>
          <w:b/>
        </w:rPr>
        <w:t>13,2</w:t>
      </w:r>
      <w:r w:rsidRPr="00C53A06">
        <w:rPr>
          <w:rFonts w:ascii="Arial Narrow" w:hAnsi="Arial Narrow"/>
          <w:b/>
        </w:rPr>
        <w:t xml:space="preserve">%, μείωση το </w:t>
      </w:r>
      <w:r w:rsidR="00D813B1">
        <w:rPr>
          <w:rFonts w:ascii="Arial Narrow" w:hAnsi="Arial Narrow"/>
          <w:b/>
        </w:rPr>
        <w:t>25,7% και σταθεροποίηση</w:t>
      </w:r>
      <w:r w:rsidRPr="00C53A06">
        <w:rPr>
          <w:rFonts w:ascii="Arial Narrow" w:hAnsi="Arial Narrow"/>
          <w:b/>
        </w:rPr>
        <w:t xml:space="preserve"> το </w:t>
      </w:r>
      <w:r w:rsidR="00D813B1">
        <w:rPr>
          <w:rFonts w:ascii="Arial Narrow" w:hAnsi="Arial Narrow"/>
          <w:b/>
        </w:rPr>
        <w:t>48,2</w:t>
      </w:r>
      <w:r w:rsidRPr="00C53A06">
        <w:rPr>
          <w:rFonts w:ascii="Arial Narrow" w:hAnsi="Arial Narrow"/>
          <w:b/>
        </w:rPr>
        <w:t xml:space="preserve">% </w:t>
      </w:r>
    </w:p>
    <w:p w:rsidR="00B640C8" w:rsidRPr="002C14D4" w:rsidRDefault="00B640C8" w:rsidP="0096076B">
      <w:pPr>
        <w:rPr>
          <w:rFonts w:ascii="Arial Narrow" w:hAnsi="Arial Narrow"/>
          <w:color w:val="FF0000"/>
        </w:rPr>
      </w:pPr>
    </w:p>
    <w:p w:rsidR="00B640C8" w:rsidRDefault="00B640C8" w:rsidP="009D0CF2">
      <w:pPr>
        <w:rPr>
          <w:rFonts w:ascii="Arial Narrow" w:hAnsi="Arial Narrow"/>
        </w:rPr>
      </w:pPr>
    </w:p>
    <w:p w:rsidR="00B640C8" w:rsidRPr="00232E82" w:rsidRDefault="00B640C8" w:rsidP="00232E82">
      <w:pPr>
        <w:ind w:left="357"/>
        <w:jc w:val="both"/>
        <w:rPr>
          <w:rFonts w:ascii="Arial Narrow" w:hAnsi="Arial Narrow"/>
          <w:b/>
          <w:bCs/>
          <w:u w:val="single"/>
        </w:rPr>
      </w:pPr>
      <w:r w:rsidRPr="0096076B">
        <w:rPr>
          <w:rFonts w:ascii="Arial Narrow" w:hAnsi="Arial Narrow"/>
          <w:b/>
          <w:bCs/>
          <w:u w:val="single"/>
        </w:rPr>
        <w:t xml:space="preserve">ΠΡΟΒΛΕΨΗ ΕΠΟΜΕΝΟΥ ΕΞΑΜΗΝΟΥ- </w:t>
      </w:r>
      <w:r>
        <w:rPr>
          <w:rFonts w:ascii="Arial Narrow" w:hAnsi="Arial Narrow"/>
          <w:b/>
          <w:bCs/>
          <w:u w:val="single"/>
        </w:rPr>
        <w:t>ΔΙΑΓΡΑΜΜΑ 4</w:t>
      </w:r>
    </w:p>
    <w:p w:rsidR="00B640C8" w:rsidRDefault="00D813B1" w:rsidP="008F2928">
      <w:pPr>
        <w:ind w:left="357"/>
        <w:jc w:val="both"/>
        <w:rPr>
          <w:rFonts w:ascii="Arial Narrow" w:hAnsi="Arial Narrow"/>
        </w:rPr>
      </w:pPr>
      <w:r>
        <w:rPr>
          <w:rFonts w:ascii="Arial Narrow" w:hAnsi="Arial Narrow"/>
          <w:noProof/>
        </w:rPr>
        <w:drawing>
          <wp:anchor distT="0" distB="0" distL="114300" distR="114300" simplePos="0" relativeHeight="251664896" behindDoc="0" locked="0" layoutInCell="1" allowOverlap="1" wp14:anchorId="1D62CABC" wp14:editId="7208533A">
            <wp:simplePos x="0" y="0"/>
            <wp:positionH relativeFrom="column">
              <wp:posOffset>-146198</wp:posOffset>
            </wp:positionH>
            <wp:positionV relativeFrom="paragraph">
              <wp:posOffset>99119</wp:posOffset>
            </wp:positionV>
            <wp:extent cx="6422065" cy="4338084"/>
            <wp:effectExtent l="0" t="0" r="0" b="0"/>
            <wp:wrapNone/>
            <wp:docPr id="14" name="Γράφημα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Pr="008F2928" w:rsidRDefault="00B640C8" w:rsidP="00E54F10">
      <w:pPr>
        <w:jc w:val="both"/>
        <w:rPr>
          <w:rFonts w:ascii="Arial Narrow" w:hAnsi="Arial Narrow"/>
          <w:u w:val="single"/>
        </w:rPr>
      </w:pPr>
    </w:p>
    <w:p w:rsidR="00B640C8" w:rsidRDefault="00B640C8" w:rsidP="00232E82">
      <w:pPr>
        <w:jc w:val="both"/>
        <w:rPr>
          <w:rFonts w:ascii="Arial Narrow" w:hAnsi="Arial Narrow"/>
          <w:b/>
          <w:u w:val="single"/>
        </w:rPr>
      </w:pPr>
    </w:p>
    <w:p w:rsidR="00B640C8" w:rsidRDefault="00B640C8" w:rsidP="00232E82">
      <w:pPr>
        <w:jc w:val="both"/>
        <w:rPr>
          <w:rFonts w:ascii="Arial Narrow" w:hAnsi="Arial Narrow"/>
          <w:b/>
          <w:u w:val="single"/>
        </w:rPr>
      </w:pPr>
    </w:p>
    <w:p w:rsidR="00B640C8" w:rsidRDefault="00B640C8" w:rsidP="00232E82">
      <w:pPr>
        <w:jc w:val="both"/>
        <w:rPr>
          <w:rFonts w:ascii="Arial Narrow" w:hAnsi="Arial Narrow"/>
          <w:b/>
          <w:u w:val="single"/>
        </w:rPr>
      </w:pPr>
    </w:p>
    <w:p w:rsidR="002C14D4" w:rsidRDefault="002C14D4" w:rsidP="00232E82">
      <w:pPr>
        <w:jc w:val="both"/>
        <w:rPr>
          <w:rFonts w:ascii="Arial Narrow" w:hAnsi="Arial Narrow"/>
          <w:b/>
          <w:u w:val="single"/>
        </w:rPr>
      </w:pPr>
    </w:p>
    <w:p w:rsidR="002C14D4" w:rsidRDefault="002C14D4" w:rsidP="00232E82">
      <w:pPr>
        <w:jc w:val="both"/>
        <w:rPr>
          <w:rFonts w:ascii="Arial Narrow" w:hAnsi="Arial Narrow"/>
          <w:b/>
          <w:u w:val="single"/>
        </w:rPr>
      </w:pPr>
    </w:p>
    <w:p w:rsidR="002C14D4" w:rsidRDefault="002C14D4" w:rsidP="00232E82">
      <w:pPr>
        <w:jc w:val="both"/>
        <w:rPr>
          <w:rFonts w:ascii="Arial Narrow" w:hAnsi="Arial Narrow"/>
          <w:b/>
          <w:u w:val="single"/>
        </w:rPr>
      </w:pPr>
    </w:p>
    <w:p w:rsidR="002C14D4" w:rsidRDefault="002C14D4" w:rsidP="00232E82">
      <w:pPr>
        <w:jc w:val="both"/>
        <w:rPr>
          <w:rFonts w:ascii="Arial Narrow" w:hAnsi="Arial Narrow"/>
          <w:b/>
          <w:u w:val="single"/>
        </w:rPr>
      </w:pPr>
    </w:p>
    <w:p w:rsidR="00C53A06" w:rsidRDefault="00C53A06" w:rsidP="00232E82">
      <w:pPr>
        <w:jc w:val="both"/>
        <w:rPr>
          <w:rFonts w:ascii="Arial Narrow" w:hAnsi="Arial Narrow"/>
          <w:b/>
          <w:u w:val="single"/>
        </w:rPr>
      </w:pPr>
    </w:p>
    <w:p w:rsidR="00B640C8" w:rsidRDefault="00B640C8" w:rsidP="00232E82">
      <w:pPr>
        <w:jc w:val="both"/>
        <w:rPr>
          <w:rFonts w:ascii="Arial Narrow" w:hAnsi="Arial Narrow"/>
          <w:b/>
          <w:u w:val="single"/>
        </w:rPr>
      </w:pPr>
    </w:p>
    <w:p w:rsidR="00B640C8" w:rsidRDefault="00B640C8" w:rsidP="00232E82">
      <w:pPr>
        <w:jc w:val="both"/>
        <w:rPr>
          <w:rFonts w:ascii="Arial Narrow" w:hAnsi="Arial Narrow"/>
          <w:b/>
          <w:u w:val="single"/>
        </w:rPr>
      </w:pPr>
    </w:p>
    <w:p w:rsidR="00D813B1" w:rsidRDefault="00D813B1" w:rsidP="00D813B1">
      <w:pPr>
        <w:ind w:left="360"/>
        <w:jc w:val="both"/>
        <w:rPr>
          <w:rFonts w:ascii="Arial Narrow" w:hAnsi="Arial Narrow"/>
          <w:b/>
          <w:u w:val="single"/>
        </w:rPr>
      </w:pPr>
    </w:p>
    <w:p w:rsidR="00D813B1" w:rsidRDefault="00D813B1" w:rsidP="00D813B1">
      <w:pPr>
        <w:ind w:left="360"/>
        <w:jc w:val="both"/>
        <w:rPr>
          <w:rFonts w:ascii="Arial Narrow" w:hAnsi="Arial Narrow"/>
          <w:b/>
          <w:u w:val="single"/>
        </w:rPr>
      </w:pPr>
    </w:p>
    <w:p w:rsidR="00D813B1" w:rsidRDefault="00D813B1" w:rsidP="00D813B1">
      <w:pPr>
        <w:ind w:left="360"/>
        <w:jc w:val="both"/>
        <w:rPr>
          <w:rFonts w:ascii="Arial Narrow" w:hAnsi="Arial Narrow"/>
          <w:b/>
          <w:u w:val="single"/>
        </w:rPr>
      </w:pPr>
    </w:p>
    <w:p w:rsidR="00D813B1" w:rsidRDefault="00D813B1" w:rsidP="00D813B1">
      <w:pPr>
        <w:ind w:left="360"/>
        <w:jc w:val="both"/>
        <w:rPr>
          <w:rFonts w:ascii="Arial Narrow" w:hAnsi="Arial Narrow"/>
          <w:b/>
          <w:u w:val="single"/>
        </w:rPr>
      </w:pPr>
    </w:p>
    <w:p w:rsidR="00B640C8" w:rsidRPr="008F2928" w:rsidRDefault="00B640C8" w:rsidP="00D156EE">
      <w:pPr>
        <w:numPr>
          <w:ilvl w:val="0"/>
          <w:numId w:val="1"/>
        </w:numPr>
        <w:tabs>
          <w:tab w:val="clear" w:pos="1080"/>
          <w:tab w:val="num" w:pos="360"/>
        </w:tabs>
        <w:ind w:left="360"/>
        <w:jc w:val="both"/>
        <w:rPr>
          <w:rFonts w:ascii="Arial Narrow" w:hAnsi="Arial Narrow"/>
          <w:b/>
          <w:u w:val="single"/>
        </w:rPr>
      </w:pPr>
      <w:r w:rsidRPr="008F2928">
        <w:rPr>
          <w:rFonts w:ascii="Arial Narrow" w:hAnsi="Arial Narrow"/>
          <w:b/>
          <w:u w:val="single"/>
        </w:rPr>
        <w:t>ΑΠΑΣΧΟΛΗΣΗ – ΣΥΝΘΗΚΕΣ ΕΡΓΑΣΙΑΣ - ΜΙΣΘΟΙ</w:t>
      </w:r>
    </w:p>
    <w:p w:rsidR="00B640C8" w:rsidRPr="008F2928" w:rsidRDefault="00B640C8" w:rsidP="008F2928">
      <w:pPr>
        <w:jc w:val="both"/>
        <w:rPr>
          <w:rFonts w:ascii="Arial Narrow" w:hAnsi="Arial Narrow"/>
          <w:b/>
          <w:highlight w:val="yellow"/>
        </w:rPr>
      </w:pPr>
    </w:p>
    <w:p w:rsidR="00B640C8" w:rsidRPr="00F1288E" w:rsidRDefault="00C00536" w:rsidP="00C00536">
      <w:pPr>
        <w:pStyle w:val="aa"/>
        <w:numPr>
          <w:ilvl w:val="0"/>
          <w:numId w:val="4"/>
        </w:numPr>
        <w:jc w:val="both"/>
        <w:rPr>
          <w:rFonts w:ascii="Tahoma" w:hAnsi="Tahoma" w:cs="Tahoma"/>
          <w:sz w:val="22"/>
          <w:szCs w:val="22"/>
        </w:rPr>
      </w:pPr>
      <w:r w:rsidRPr="00F1288E">
        <w:rPr>
          <w:rFonts w:ascii="Arial Narrow" w:hAnsi="Arial Narrow"/>
        </w:rPr>
        <w:t>Παρά τη μεγαλύτερη αισιοδοξία που διέπει τις επιχειρήσεις για το οικονομικό τους μέλλον, α</w:t>
      </w:r>
      <w:r w:rsidR="00093261" w:rsidRPr="00F1288E">
        <w:rPr>
          <w:rFonts w:ascii="Arial Narrow" w:hAnsi="Arial Narrow"/>
        </w:rPr>
        <w:t>ρνητικά παραμένουν τα στοι</w:t>
      </w:r>
      <w:r w:rsidR="003535A6" w:rsidRPr="00F1288E">
        <w:rPr>
          <w:rFonts w:ascii="Arial Narrow" w:hAnsi="Arial Narrow"/>
        </w:rPr>
        <w:t>χεία που αφορούν την απασχόληση</w:t>
      </w:r>
      <w:r w:rsidR="00093261" w:rsidRPr="00F1288E">
        <w:rPr>
          <w:rFonts w:ascii="Arial Narrow" w:hAnsi="Arial Narrow"/>
        </w:rPr>
        <w:t>.</w:t>
      </w:r>
      <w:r w:rsidRPr="00F1288E">
        <w:rPr>
          <w:rFonts w:ascii="Arial Narrow" w:hAnsi="Arial Narrow"/>
        </w:rPr>
        <w:t xml:space="preserve"> </w:t>
      </w:r>
      <w:r w:rsidR="00B640C8" w:rsidRPr="00F1288E">
        <w:rPr>
          <w:rFonts w:ascii="Arial Narrow" w:hAnsi="Arial Narrow"/>
        </w:rPr>
        <w:t xml:space="preserve">Οι επιπτώσεις της κρίσης </w:t>
      </w:r>
      <w:r w:rsidR="00093261" w:rsidRPr="00F1288E">
        <w:rPr>
          <w:rFonts w:ascii="Arial Narrow" w:hAnsi="Arial Narrow"/>
        </w:rPr>
        <w:t>στην απασχόληση</w:t>
      </w:r>
      <w:r w:rsidR="00B640C8" w:rsidRPr="00F1288E">
        <w:rPr>
          <w:rFonts w:ascii="Arial Narrow" w:hAnsi="Arial Narrow"/>
        </w:rPr>
        <w:t xml:space="preserve"> </w:t>
      </w:r>
      <w:r w:rsidR="00093261" w:rsidRPr="00F1288E">
        <w:rPr>
          <w:rFonts w:ascii="Arial Narrow" w:hAnsi="Arial Narrow"/>
        </w:rPr>
        <w:t>είναι προφανείς</w:t>
      </w:r>
      <w:r w:rsidR="00B640C8" w:rsidRPr="00F1288E">
        <w:rPr>
          <w:rFonts w:ascii="Arial Narrow" w:hAnsi="Arial Narrow"/>
        </w:rPr>
        <w:t xml:space="preserve">. </w:t>
      </w:r>
      <w:r w:rsidR="00D156EE" w:rsidRPr="00F1288E">
        <w:rPr>
          <w:rFonts w:ascii="Arial Narrow" w:hAnsi="Arial Narrow"/>
        </w:rPr>
        <w:t>Μείωση προσωπικού κατά το</w:t>
      </w:r>
      <w:r w:rsidR="0071557C" w:rsidRPr="00F1288E">
        <w:rPr>
          <w:rFonts w:ascii="Arial Narrow" w:hAnsi="Arial Narrow"/>
        </w:rPr>
        <w:t xml:space="preserve"> τε</w:t>
      </w:r>
      <w:r w:rsidRPr="00F1288E">
        <w:rPr>
          <w:rFonts w:ascii="Arial Narrow" w:hAnsi="Arial Narrow"/>
        </w:rPr>
        <w:t>λευταίο εξάμηνο ανέφερε το 9</w:t>
      </w:r>
      <w:r w:rsidR="0071557C" w:rsidRPr="00F1288E">
        <w:rPr>
          <w:rFonts w:ascii="Arial Narrow" w:hAnsi="Arial Narrow"/>
        </w:rPr>
        <w:t>,6</w:t>
      </w:r>
      <w:r w:rsidR="00D156EE" w:rsidRPr="00F1288E">
        <w:rPr>
          <w:rFonts w:ascii="Arial Narrow" w:hAnsi="Arial Narrow"/>
        </w:rPr>
        <w:t xml:space="preserve">% των επιχειρήσεων ενώ αύξηση ανέφερε το </w:t>
      </w:r>
      <w:r w:rsidRPr="00F1288E">
        <w:rPr>
          <w:rFonts w:ascii="Arial Narrow" w:hAnsi="Arial Narrow"/>
        </w:rPr>
        <w:t>5,2</w:t>
      </w:r>
      <w:r w:rsidR="00D156EE" w:rsidRPr="00F1288E">
        <w:rPr>
          <w:rFonts w:ascii="Arial Narrow" w:hAnsi="Arial Narrow"/>
        </w:rPr>
        <w:t>%.</w:t>
      </w:r>
    </w:p>
    <w:p w:rsidR="00D156EE" w:rsidRPr="00556999" w:rsidRDefault="00D156EE" w:rsidP="00D156EE">
      <w:pPr>
        <w:numPr>
          <w:ilvl w:val="0"/>
          <w:numId w:val="4"/>
        </w:numPr>
        <w:jc w:val="both"/>
        <w:rPr>
          <w:rFonts w:ascii="Arial Narrow" w:hAnsi="Arial Narrow"/>
          <w:color w:val="FF0000"/>
        </w:rPr>
      </w:pPr>
      <w:r w:rsidRPr="00C00536">
        <w:rPr>
          <w:rFonts w:ascii="Arial Narrow" w:hAnsi="Arial Narrow"/>
          <w:b/>
        </w:rPr>
        <w:t xml:space="preserve">Σε απόλυτα μεγέθη η απώλεια θέσεων </w:t>
      </w:r>
      <w:r w:rsidR="003638B1">
        <w:rPr>
          <w:rFonts w:ascii="Arial Narrow" w:hAnsi="Arial Narrow"/>
          <w:b/>
        </w:rPr>
        <w:t>συνολικής απασχόλησης</w:t>
      </w:r>
      <w:r w:rsidRPr="00C00536">
        <w:rPr>
          <w:rFonts w:ascii="Arial Narrow" w:hAnsi="Arial Narrow"/>
          <w:b/>
        </w:rPr>
        <w:t xml:space="preserve"> </w:t>
      </w:r>
      <w:r w:rsidR="00C00536">
        <w:rPr>
          <w:rFonts w:ascii="Arial Narrow" w:hAnsi="Arial Narrow"/>
          <w:b/>
        </w:rPr>
        <w:t>στις μικρές</w:t>
      </w:r>
      <w:r w:rsidR="0071557C" w:rsidRPr="00C00536">
        <w:rPr>
          <w:rFonts w:ascii="Arial Narrow" w:hAnsi="Arial Narrow"/>
          <w:b/>
        </w:rPr>
        <w:t xml:space="preserve"> επιχειρήσεις </w:t>
      </w:r>
      <w:r w:rsidRPr="00C00536">
        <w:rPr>
          <w:rFonts w:ascii="Arial Narrow" w:hAnsi="Arial Narrow"/>
          <w:b/>
        </w:rPr>
        <w:t xml:space="preserve">κατά το </w:t>
      </w:r>
      <w:r w:rsidR="00C00536" w:rsidRPr="00C00536">
        <w:rPr>
          <w:rFonts w:ascii="Arial Narrow" w:hAnsi="Arial Narrow"/>
          <w:b/>
        </w:rPr>
        <w:t>2</w:t>
      </w:r>
      <w:r w:rsidRPr="00C00536">
        <w:rPr>
          <w:rFonts w:ascii="Arial Narrow" w:hAnsi="Arial Narrow"/>
          <w:b/>
          <w:vertAlign w:val="superscript"/>
        </w:rPr>
        <w:t>ο</w:t>
      </w:r>
      <w:r w:rsidR="0071557C" w:rsidRPr="00C00536">
        <w:rPr>
          <w:rFonts w:ascii="Arial Narrow" w:hAnsi="Arial Narrow"/>
          <w:b/>
        </w:rPr>
        <w:t xml:space="preserve"> εξάμηνο του 2014</w:t>
      </w:r>
      <w:r w:rsidRPr="00C00536">
        <w:rPr>
          <w:rFonts w:ascii="Arial Narrow" w:hAnsi="Arial Narrow"/>
          <w:b/>
        </w:rPr>
        <w:t xml:space="preserve"> </w:t>
      </w:r>
      <w:r w:rsidR="0071557C" w:rsidRPr="00C00536">
        <w:rPr>
          <w:rFonts w:ascii="Arial Narrow" w:hAnsi="Arial Narrow"/>
          <w:b/>
        </w:rPr>
        <w:t>ανέρχεται</w:t>
      </w:r>
      <w:r w:rsidR="00E91421" w:rsidRPr="00C00536">
        <w:rPr>
          <w:rFonts w:ascii="Arial Narrow" w:hAnsi="Arial Narrow"/>
          <w:b/>
        </w:rPr>
        <w:t xml:space="preserve"> </w:t>
      </w:r>
      <w:r w:rsidR="0071557C" w:rsidRPr="00C00536">
        <w:rPr>
          <w:rFonts w:ascii="Arial Narrow" w:hAnsi="Arial Narrow"/>
          <w:b/>
        </w:rPr>
        <w:t>σ</w:t>
      </w:r>
      <w:r w:rsidR="00E91421" w:rsidRPr="00C00536">
        <w:rPr>
          <w:rFonts w:ascii="Arial Narrow" w:hAnsi="Arial Narrow"/>
          <w:b/>
        </w:rPr>
        <w:t>τα</w:t>
      </w:r>
      <w:r w:rsidRPr="00925A9D">
        <w:rPr>
          <w:rFonts w:ascii="Arial Narrow" w:hAnsi="Arial Narrow"/>
          <w:b/>
          <w:color w:val="FF0000"/>
        </w:rPr>
        <w:t xml:space="preserve"> </w:t>
      </w:r>
      <w:r w:rsidR="003638B1" w:rsidRPr="00556999">
        <w:rPr>
          <w:rFonts w:ascii="Arial Narrow" w:hAnsi="Arial Narrow"/>
          <w:b/>
        </w:rPr>
        <w:t>40</w:t>
      </w:r>
      <w:r w:rsidR="00681EC5" w:rsidRPr="00556999">
        <w:rPr>
          <w:rFonts w:ascii="Arial Narrow" w:hAnsi="Arial Narrow"/>
          <w:b/>
        </w:rPr>
        <w:t xml:space="preserve">,000 </w:t>
      </w:r>
      <w:r w:rsidRPr="00556999">
        <w:rPr>
          <w:rFonts w:ascii="Arial Narrow" w:hAnsi="Arial Narrow"/>
          <w:b/>
          <w:u w:val="single"/>
        </w:rPr>
        <w:t>άτομα</w:t>
      </w:r>
      <w:r w:rsidR="00E91421" w:rsidRPr="00556999">
        <w:rPr>
          <w:rFonts w:ascii="Arial Narrow" w:hAnsi="Arial Narrow"/>
          <w:b/>
        </w:rPr>
        <w:t>, στοιχείο που</w:t>
      </w:r>
      <w:r w:rsidRPr="00556999">
        <w:rPr>
          <w:rFonts w:ascii="Arial Narrow" w:hAnsi="Arial Narrow"/>
          <w:b/>
        </w:rPr>
        <w:t xml:space="preserve"> </w:t>
      </w:r>
      <w:r w:rsidR="00E91421" w:rsidRPr="00556999">
        <w:rPr>
          <w:rFonts w:ascii="Arial Narrow" w:hAnsi="Arial Narrow"/>
        </w:rPr>
        <w:t>επιβεβαιώνεται από τις έρευνες της ΕΛΣΤΑΤ</w:t>
      </w:r>
      <w:r w:rsidR="0071557C" w:rsidRPr="00556999">
        <w:rPr>
          <w:rFonts w:ascii="Arial Narrow" w:hAnsi="Arial Narrow"/>
        </w:rPr>
        <w:t xml:space="preserve"> (μηνιαία στοιχεία απασχόλησης</w:t>
      </w:r>
      <w:r w:rsidR="00946E43" w:rsidRPr="00556999">
        <w:rPr>
          <w:rFonts w:ascii="Arial Narrow" w:hAnsi="Arial Narrow"/>
        </w:rPr>
        <w:t>, επίσημα στοιχεία ΕΛΣΤΑΤ</w:t>
      </w:r>
      <w:r w:rsidR="003638B1" w:rsidRPr="00556999">
        <w:rPr>
          <w:rFonts w:ascii="Arial Narrow" w:hAnsi="Arial Narrow"/>
        </w:rPr>
        <w:t>, Ιούνιος-Δεκέμβριος 2014</w:t>
      </w:r>
      <w:r w:rsidR="0071557C" w:rsidRPr="00556999">
        <w:rPr>
          <w:rFonts w:ascii="Arial Narrow" w:hAnsi="Arial Narrow"/>
        </w:rPr>
        <w:t xml:space="preserve">) </w:t>
      </w:r>
      <w:r w:rsidR="00E91421" w:rsidRPr="00556999">
        <w:rPr>
          <w:rFonts w:ascii="Arial Narrow" w:hAnsi="Arial Narrow"/>
        </w:rPr>
        <w:t>και την πρόβλεψη του ΙΜΕ-ΓΣΕΒΕΕ από τ</w:t>
      </w:r>
      <w:r w:rsidR="00CE38CF" w:rsidRPr="00556999">
        <w:rPr>
          <w:rFonts w:ascii="Arial Narrow" w:hAnsi="Arial Narrow"/>
        </w:rPr>
        <w:t xml:space="preserve">ην έρευνα κλίματος, </w:t>
      </w:r>
      <w:r w:rsidR="00C00536" w:rsidRPr="00556999">
        <w:rPr>
          <w:rFonts w:ascii="Arial Narrow" w:hAnsi="Arial Narrow"/>
        </w:rPr>
        <w:t>Ιουλίου</w:t>
      </w:r>
      <w:r w:rsidR="00CE38CF" w:rsidRPr="00556999">
        <w:rPr>
          <w:rFonts w:ascii="Arial Narrow" w:hAnsi="Arial Narrow"/>
        </w:rPr>
        <w:t xml:space="preserve"> 2014</w:t>
      </w:r>
      <w:r w:rsidR="00E91421" w:rsidRPr="00556999">
        <w:rPr>
          <w:rFonts w:ascii="Arial Narrow" w:hAnsi="Arial Narrow"/>
          <w:color w:val="FF0000"/>
        </w:rPr>
        <w:t>.</w:t>
      </w:r>
      <w:r w:rsidR="00A04183" w:rsidRPr="00556999">
        <w:rPr>
          <w:rFonts w:ascii="Arial Narrow" w:hAnsi="Arial Narrow"/>
          <w:color w:val="FF0000"/>
        </w:rPr>
        <w:t xml:space="preserve"> </w:t>
      </w:r>
      <w:r w:rsidR="003535A6" w:rsidRPr="00556999">
        <w:rPr>
          <w:rFonts w:ascii="Arial Narrow" w:hAnsi="Arial Narrow"/>
        </w:rPr>
        <w:t>Η οριακή μείωση της ανεργίας</w:t>
      </w:r>
      <w:r w:rsidR="003638B1" w:rsidRPr="00556999">
        <w:rPr>
          <w:rFonts w:ascii="Arial Narrow" w:hAnsi="Arial Narrow"/>
        </w:rPr>
        <w:t xml:space="preserve"> (26,1%)</w:t>
      </w:r>
      <w:r w:rsidR="003535A6" w:rsidRPr="00556999">
        <w:rPr>
          <w:rFonts w:ascii="Arial Narrow" w:hAnsi="Arial Narrow"/>
        </w:rPr>
        <w:t xml:space="preserve"> </w:t>
      </w:r>
      <w:r w:rsidR="007442A6" w:rsidRPr="00556999">
        <w:rPr>
          <w:rFonts w:ascii="Arial Narrow" w:hAnsi="Arial Narrow"/>
        </w:rPr>
        <w:t xml:space="preserve">δυστυχώς δεν οφείλεται </w:t>
      </w:r>
      <w:r w:rsidR="003535A6" w:rsidRPr="00556999">
        <w:rPr>
          <w:rFonts w:ascii="Arial Narrow" w:hAnsi="Arial Narrow"/>
        </w:rPr>
        <w:t>σε</w:t>
      </w:r>
      <w:r w:rsidR="00946E43" w:rsidRPr="00556999">
        <w:rPr>
          <w:rFonts w:ascii="Arial Narrow" w:hAnsi="Arial Narrow"/>
        </w:rPr>
        <w:t xml:space="preserve"> αύξηση των θέσεων απασχόλησης</w:t>
      </w:r>
      <w:r w:rsidR="00932A7F" w:rsidRPr="00556999">
        <w:rPr>
          <w:rFonts w:ascii="Arial Narrow" w:hAnsi="Arial Narrow"/>
        </w:rPr>
        <w:t>, αλλά κυρίως σε αύξηση ροών πληθυσμού προς το μη ενεργό πληθυσμό</w:t>
      </w:r>
      <w:r w:rsidR="003535A6" w:rsidRPr="00556999">
        <w:rPr>
          <w:rFonts w:ascii="Arial Narrow" w:hAnsi="Arial Narrow"/>
        </w:rPr>
        <w:t>.</w:t>
      </w:r>
      <w:r w:rsidR="00932A7F" w:rsidRPr="00556999">
        <w:rPr>
          <w:rFonts w:ascii="Arial Narrow" w:hAnsi="Arial Narrow"/>
        </w:rPr>
        <w:t xml:space="preserve"> Παράλληλα, ο απόλυτος αριθμός ανέργων αυξήθηκε το τελευταίο εξάμηνο (μηνιαία στοιχεία ΕΛΣΤΑΤ).</w:t>
      </w:r>
    </w:p>
    <w:p w:rsidR="00B640C8" w:rsidRPr="00D83838" w:rsidRDefault="001A1009" w:rsidP="00D83838">
      <w:pPr>
        <w:numPr>
          <w:ilvl w:val="0"/>
          <w:numId w:val="4"/>
        </w:numPr>
        <w:jc w:val="both"/>
        <w:rPr>
          <w:rFonts w:ascii="Arial Narrow" w:hAnsi="Arial Narrow"/>
          <w:color w:val="FF0000"/>
        </w:rPr>
      </w:pPr>
      <w:r w:rsidRPr="00556999">
        <w:rPr>
          <w:rFonts w:ascii="Arial Narrow" w:hAnsi="Arial Narrow"/>
        </w:rPr>
        <w:t>Τ</w:t>
      </w:r>
      <w:r w:rsidR="00D156EE" w:rsidRPr="00556999">
        <w:rPr>
          <w:rFonts w:ascii="Arial Narrow" w:hAnsi="Arial Narrow"/>
        </w:rPr>
        <w:t>α ευρήματα από τις στατιστικές προβολές του ΙΜΕ-ΓΣΕΒΕΕ</w:t>
      </w:r>
      <w:r w:rsidR="00681EC5" w:rsidRPr="00556999">
        <w:rPr>
          <w:rFonts w:ascii="Arial Narrow" w:hAnsi="Arial Narrow"/>
        </w:rPr>
        <w:t xml:space="preserve"> για το επόμενο εξάμηνο</w:t>
      </w:r>
      <w:r w:rsidRPr="00556999">
        <w:rPr>
          <w:rFonts w:ascii="Arial Narrow" w:hAnsi="Arial Narrow"/>
        </w:rPr>
        <w:t xml:space="preserve"> είναι ιδιαίτερα ανησυχητικά</w:t>
      </w:r>
      <w:r w:rsidR="00D156EE" w:rsidRPr="00556999">
        <w:rPr>
          <w:rFonts w:ascii="Arial Narrow" w:hAnsi="Arial Narrow"/>
        </w:rPr>
        <w:t>, καθώς διατηρείται</w:t>
      </w:r>
      <w:r w:rsidR="00C00536" w:rsidRPr="00556999">
        <w:rPr>
          <w:rFonts w:ascii="Arial Narrow" w:hAnsi="Arial Narrow"/>
        </w:rPr>
        <w:t xml:space="preserve"> </w:t>
      </w:r>
      <w:r w:rsidR="00D83838" w:rsidRPr="00556999">
        <w:rPr>
          <w:rFonts w:ascii="Arial Narrow" w:hAnsi="Arial Narrow"/>
        </w:rPr>
        <w:t>σχεδόν αμετάβλητο το</w:t>
      </w:r>
      <w:r w:rsidR="00C00536" w:rsidRPr="00556999">
        <w:rPr>
          <w:rFonts w:ascii="Arial Narrow" w:hAnsi="Arial Narrow"/>
        </w:rPr>
        <w:t xml:space="preserve"> </w:t>
      </w:r>
      <w:r w:rsidR="00D156EE" w:rsidRPr="00556999">
        <w:rPr>
          <w:rFonts w:ascii="Arial Narrow" w:hAnsi="Arial Narrow"/>
        </w:rPr>
        <w:t>ισοζύγιο προσλήψεων-απολύσεων</w:t>
      </w:r>
      <w:r w:rsidR="00D83838" w:rsidRPr="00556999">
        <w:rPr>
          <w:rFonts w:ascii="Arial Narrow" w:hAnsi="Arial Narrow"/>
        </w:rPr>
        <w:t>, άρα και οι προοπτικές μείωσης της ανεργίας είναι περιορισμένες</w:t>
      </w:r>
      <w:r w:rsidR="00D156EE" w:rsidRPr="00556999">
        <w:rPr>
          <w:rFonts w:ascii="Arial Narrow" w:hAnsi="Arial Narrow"/>
        </w:rPr>
        <w:t xml:space="preserve">.  </w:t>
      </w:r>
      <w:r w:rsidR="00093261" w:rsidRPr="00556999">
        <w:rPr>
          <w:rFonts w:ascii="Arial Narrow" w:hAnsi="Arial Narrow"/>
        </w:rPr>
        <w:t>Για κάθε 1 επιχείρηση που προσλαμβάνει στον ιδιωτ</w:t>
      </w:r>
      <w:r w:rsidR="00705759" w:rsidRPr="00556999">
        <w:rPr>
          <w:rFonts w:ascii="Arial Narrow" w:hAnsi="Arial Narrow"/>
        </w:rPr>
        <w:t xml:space="preserve">ικό </w:t>
      </w:r>
      <w:r w:rsidR="00D83838" w:rsidRPr="00556999">
        <w:rPr>
          <w:rFonts w:ascii="Arial Narrow" w:hAnsi="Arial Narrow"/>
          <w:b/>
        </w:rPr>
        <w:t>τομέα αντιστοιχούν περίπου 1,1</w:t>
      </w:r>
      <w:r w:rsidR="00705759" w:rsidRPr="00556999">
        <w:rPr>
          <w:rFonts w:ascii="Arial Narrow" w:hAnsi="Arial Narrow"/>
          <w:b/>
        </w:rPr>
        <w:t xml:space="preserve"> επιχειρήσεις που </w:t>
      </w:r>
      <w:r w:rsidR="00093261" w:rsidRPr="00556999">
        <w:rPr>
          <w:rFonts w:ascii="Arial Narrow" w:hAnsi="Arial Narrow"/>
          <w:b/>
        </w:rPr>
        <w:t>απολύουν (στην π</w:t>
      </w:r>
      <w:r w:rsidR="00705759" w:rsidRPr="00556999">
        <w:rPr>
          <w:rFonts w:ascii="Arial Narrow" w:hAnsi="Arial Narrow"/>
          <w:b/>
        </w:rPr>
        <w:t>ροηγούμενη έρευνα</w:t>
      </w:r>
      <w:r w:rsidR="00D83838" w:rsidRPr="00556999">
        <w:rPr>
          <w:rFonts w:ascii="Arial Narrow" w:hAnsi="Arial Narrow"/>
          <w:b/>
        </w:rPr>
        <w:t xml:space="preserve"> </w:t>
      </w:r>
      <w:r w:rsidR="00221083" w:rsidRPr="00556999">
        <w:rPr>
          <w:rFonts w:ascii="Arial Narrow" w:hAnsi="Arial Narrow"/>
          <w:b/>
        </w:rPr>
        <w:t>της αντίστοιχης περιόδου του 2014</w:t>
      </w:r>
      <w:r w:rsidR="00E413B7" w:rsidRPr="00556999">
        <w:rPr>
          <w:rFonts w:ascii="Arial Narrow" w:hAnsi="Arial Narrow"/>
          <w:b/>
        </w:rPr>
        <w:t xml:space="preserve">  ήταν 1:1,6</w:t>
      </w:r>
      <w:r w:rsidR="00221083" w:rsidRPr="00556999">
        <w:rPr>
          <w:rFonts w:ascii="Arial Narrow" w:hAnsi="Arial Narrow"/>
          <w:b/>
        </w:rPr>
        <w:t>, Φεβρουάριος</w:t>
      </w:r>
      <w:r w:rsidR="00705759" w:rsidRPr="00556999">
        <w:rPr>
          <w:rFonts w:ascii="Arial Narrow" w:hAnsi="Arial Narrow"/>
          <w:b/>
        </w:rPr>
        <w:t xml:space="preserve"> 2014</w:t>
      </w:r>
      <w:r w:rsidR="00D156EE" w:rsidRPr="00556999">
        <w:rPr>
          <w:rFonts w:ascii="Arial Narrow" w:hAnsi="Arial Narrow"/>
          <w:b/>
        </w:rPr>
        <w:t>)</w:t>
      </w:r>
      <w:r w:rsidR="00093261" w:rsidRPr="00556999">
        <w:rPr>
          <w:rFonts w:ascii="Arial Narrow" w:hAnsi="Arial Narrow"/>
          <w:b/>
        </w:rPr>
        <w:t>.</w:t>
      </w:r>
      <w:r w:rsidR="00705759" w:rsidRPr="00925A9D">
        <w:rPr>
          <w:rFonts w:ascii="Arial Narrow" w:hAnsi="Arial Narrow"/>
          <w:color w:val="FF0000"/>
        </w:rPr>
        <w:t xml:space="preserve"> </w:t>
      </w:r>
      <w:r w:rsidR="00D83838">
        <w:rPr>
          <w:rFonts w:ascii="Arial Narrow" w:hAnsi="Arial Narrow"/>
        </w:rPr>
        <w:t>Ε</w:t>
      </w:r>
      <w:r w:rsidR="00D156EE" w:rsidRPr="00D83838">
        <w:rPr>
          <w:rFonts w:ascii="Arial Narrow" w:hAnsi="Arial Narrow"/>
        </w:rPr>
        <w:t xml:space="preserve">άν επαληθευτούν οι εκτιμήσεις του </w:t>
      </w:r>
      <w:r w:rsidR="00D156EE" w:rsidRPr="00D83838">
        <w:rPr>
          <w:rFonts w:ascii="Arial Narrow" w:hAnsi="Arial Narrow"/>
        </w:rPr>
        <w:lastRenderedPageBreak/>
        <w:t xml:space="preserve">ΙΜΕ-ΓΣΕΒΕΕ τότε </w:t>
      </w:r>
      <w:r w:rsidR="00C00536" w:rsidRPr="00D83838">
        <w:rPr>
          <w:rFonts w:ascii="Arial Narrow" w:hAnsi="Arial Narrow"/>
          <w:b/>
        </w:rPr>
        <w:t xml:space="preserve">υπάρχει κίνδυνος απώλειας </w:t>
      </w:r>
      <w:r w:rsidR="00221083">
        <w:rPr>
          <w:rFonts w:ascii="Arial Narrow" w:hAnsi="Arial Narrow"/>
          <w:b/>
        </w:rPr>
        <w:t>20,000</w:t>
      </w:r>
      <w:r w:rsidR="00D156EE" w:rsidRPr="00D83838">
        <w:rPr>
          <w:rFonts w:ascii="Arial Narrow" w:hAnsi="Arial Narrow"/>
          <w:b/>
        </w:rPr>
        <w:t xml:space="preserve"> θέσεων </w:t>
      </w:r>
      <w:r w:rsidR="00D156EE" w:rsidRPr="00D83838">
        <w:rPr>
          <w:rFonts w:ascii="Arial Narrow" w:hAnsi="Arial Narrow"/>
          <w:b/>
          <w:u w:val="single"/>
        </w:rPr>
        <w:t>συνολικής απασχόλησης</w:t>
      </w:r>
      <w:r w:rsidR="00D156EE" w:rsidRPr="00D83838">
        <w:rPr>
          <w:rFonts w:ascii="Arial Narrow" w:hAnsi="Arial Narrow"/>
        </w:rPr>
        <w:t xml:space="preserve"> (εργοδότες, αυτοαπασχολούμενοι,</w:t>
      </w:r>
      <w:r w:rsidR="00BB4A6E" w:rsidRPr="00D83838">
        <w:rPr>
          <w:rFonts w:ascii="Arial Narrow" w:hAnsi="Arial Narrow"/>
        </w:rPr>
        <w:t xml:space="preserve"> </w:t>
      </w:r>
      <w:r w:rsidR="00D156EE" w:rsidRPr="00D83838">
        <w:rPr>
          <w:rFonts w:ascii="Arial Narrow" w:hAnsi="Arial Narrow"/>
        </w:rPr>
        <w:t xml:space="preserve">μισθωτοί) στο επόμενο εξάμηνο. </w:t>
      </w:r>
      <w:r w:rsidR="00C4362C" w:rsidRPr="00D83838">
        <w:rPr>
          <w:rFonts w:ascii="Arial Narrow" w:hAnsi="Arial Narrow"/>
        </w:rPr>
        <w:t>Γ</w:t>
      </w:r>
      <w:r w:rsidR="00B640C8" w:rsidRPr="00D83838">
        <w:rPr>
          <w:rFonts w:ascii="Arial Narrow" w:hAnsi="Arial Narrow"/>
        </w:rPr>
        <w:t xml:space="preserve">ια το </w:t>
      </w:r>
      <w:r w:rsidR="00C00536" w:rsidRPr="00D83838">
        <w:rPr>
          <w:rFonts w:ascii="Arial Narrow" w:hAnsi="Arial Narrow"/>
        </w:rPr>
        <w:t>πρώτο εξάμηνο του 2015</w:t>
      </w:r>
      <w:r w:rsidR="00A87FF8">
        <w:rPr>
          <w:rFonts w:ascii="Arial Narrow" w:hAnsi="Arial Narrow"/>
        </w:rPr>
        <w:t>, η καθαρή ροή απασχόλησης αναμένεται να μη μεταβληθεί σημαντικά.</w:t>
      </w:r>
    </w:p>
    <w:p w:rsidR="00B412D2" w:rsidRPr="00925A9D" w:rsidRDefault="00B412D2" w:rsidP="00D156EE">
      <w:pPr>
        <w:numPr>
          <w:ilvl w:val="0"/>
          <w:numId w:val="4"/>
        </w:numPr>
        <w:jc w:val="both"/>
        <w:rPr>
          <w:rFonts w:ascii="Arial Narrow" w:hAnsi="Arial Narrow"/>
          <w:color w:val="FF0000"/>
        </w:rPr>
      </w:pPr>
      <w:r w:rsidRPr="00D83838">
        <w:rPr>
          <w:rFonts w:ascii="Arial Narrow" w:hAnsi="Arial Narrow"/>
        </w:rPr>
        <w:t xml:space="preserve">Ένα σημαντικό στοιχείο που προκύπτει </w:t>
      </w:r>
      <w:r w:rsidRPr="00D83838">
        <w:rPr>
          <w:rFonts w:ascii="Arial Narrow" w:hAnsi="Arial Narrow"/>
          <w:b/>
        </w:rPr>
        <w:t>επαναληπτικά στην έρευνα κλίματος είναι η σταθερή δυσκολία που αντιμετωπίζουν οι μικρομεσαίες επιχειρήσεις στην έγκαιρη καταβολή των μισθών</w:t>
      </w:r>
      <w:r w:rsidRPr="00925A9D">
        <w:rPr>
          <w:rFonts w:ascii="Arial Narrow" w:hAnsi="Arial Narrow"/>
          <w:color w:val="FF0000"/>
        </w:rPr>
        <w:t xml:space="preserve">. </w:t>
      </w:r>
      <w:r w:rsidR="00B97C27" w:rsidRPr="00B97C27">
        <w:rPr>
          <w:rFonts w:ascii="Arial Narrow" w:hAnsi="Arial Narrow"/>
        </w:rPr>
        <w:t>Το 44,4%</w:t>
      </w:r>
      <w:r w:rsidRPr="00B97C27">
        <w:rPr>
          <w:rFonts w:ascii="Arial Narrow" w:hAnsi="Arial Narrow"/>
        </w:rPr>
        <w:t xml:space="preserve"> </w:t>
      </w:r>
      <w:r w:rsidR="00B97C27" w:rsidRPr="00B97C27">
        <w:rPr>
          <w:rFonts w:ascii="Arial Narrow" w:hAnsi="Arial Narrow"/>
        </w:rPr>
        <w:t>των επιχειρήσεων</w:t>
      </w:r>
      <w:r w:rsidRPr="00B97C27">
        <w:rPr>
          <w:rFonts w:ascii="Arial Narrow" w:hAnsi="Arial Narrow"/>
        </w:rPr>
        <w:t xml:space="preserve"> παρουσιάζει αυτό το πρόβλημα αδιαλείπτως. </w:t>
      </w:r>
      <w:r w:rsidR="00B97C27" w:rsidRPr="00B97C27">
        <w:rPr>
          <w:rFonts w:ascii="Arial Narrow" w:hAnsi="Arial Narrow"/>
        </w:rPr>
        <w:t>Το 33</w:t>
      </w:r>
      <w:r w:rsidR="007076AD" w:rsidRPr="00B97C27">
        <w:rPr>
          <w:rFonts w:ascii="Arial Narrow" w:hAnsi="Arial Narrow"/>
        </w:rPr>
        <w:t>,</w:t>
      </w:r>
      <w:r w:rsidR="00B97C27" w:rsidRPr="00B97C27">
        <w:rPr>
          <w:rFonts w:ascii="Arial Narrow" w:hAnsi="Arial Narrow"/>
        </w:rPr>
        <w:t>9</w:t>
      </w:r>
      <w:r w:rsidR="007076AD" w:rsidRPr="00B97C27">
        <w:rPr>
          <w:rFonts w:ascii="Arial Narrow" w:hAnsi="Arial Narrow"/>
        </w:rPr>
        <w:t>% των επιχειρ</w:t>
      </w:r>
      <w:r w:rsidR="00491456" w:rsidRPr="00B97C27">
        <w:rPr>
          <w:rFonts w:ascii="Arial Narrow" w:hAnsi="Arial Narrow"/>
        </w:rPr>
        <w:t>ήσεων δήλωσαν</w:t>
      </w:r>
      <w:r w:rsidR="007076AD" w:rsidRPr="00B97C27">
        <w:rPr>
          <w:rFonts w:ascii="Arial Narrow" w:hAnsi="Arial Narrow"/>
        </w:rPr>
        <w:t xml:space="preserve"> ότι έχουν μειώσει τις αποδοχές των υπαλλήλων στο προηγούμενο εξάμηνο (διάγραμμα 5). </w:t>
      </w:r>
    </w:p>
    <w:p w:rsidR="00B640C8" w:rsidRPr="00925A9D" w:rsidRDefault="00B412D2" w:rsidP="002F5084">
      <w:pPr>
        <w:numPr>
          <w:ilvl w:val="0"/>
          <w:numId w:val="4"/>
        </w:numPr>
        <w:jc w:val="both"/>
        <w:rPr>
          <w:rFonts w:ascii="Arial Narrow" w:hAnsi="Arial Narrow"/>
          <w:color w:val="FF0000"/>
        </w:rPr>
      </w:pPr>
      <w:r w:rsidRPr="009E28D3">
        <w:rPr>
          <w:rFonts w:ascii="Arial Narrow" w:hAnsi="Arial Narrow"/>
        </w:rPr>
        <w:t>Παράλληλα, παγιώνεται σε υψηλά ποσοστά (</w:t>
      </w:r>
      <w:r w:rsidR="00B97C27" w:rsidRPr="009E28D3">
        <w:rPr>
          <w:rFonts w:ascii="Arial Narrow" w:hAnsi="Arial Narrow"/>
        </w:rPr>
        <w:t>43</w:t>
      </w:r>
      <w:r w:rsidRPr="009E28D3">
        <w:rPr>
          <w:rFonts w:ascii="Arial Narrow" w:hAnsi="Arial Narrow"/>
        </w:rPr>
        <w:t>%)</w:t>
      </w:r>
      <w:r w:rsidR="00D156EE" w:rsidRPr="009E28D3">
        <w:rPr>
          <w:rFonts w:ascii="Arial Narrow" w:hAnsi="Arial Narrow"/>
        </w:rPr>
        <w:t xml:space="preserve"> το καθεστώς εφαρμογής ευέλικτων μορφών απασχόλησης. </w:t>
      </w:r>
      <w:r w:rsidR="009E28D3" w:rsidRPr="009E28D3">
        <w:rPr>
          <w:rFonts w:ascii="Arial Narrow" w:hAnsi="Arial Narrow"/>
        </w:rPr>
        <w:t xml:space="preserve">Μάλιστα, το 17,8% των επιχειρήσεων δηλώνει ότι είναι πολύ πιθανό να μειώσει μισθούς ή ώρες εργασίας στο επόμενο εξάμηνο. Δεδομένης της έλλειψης προοπτικής για αύξηση της ζήτησης και των </w:t>
      </w:r>
      <w:r w:rsidR="007715EA" w:rsidRPr="009E28D3">
        <w:rPr>
          <w:rFonts w:ascii="Arial Narrow" w:hAnsi="Arial Narrow"/>
        </w:rPr>
        <w:t>επενδύσεων</w:t>
      </w:r>
      <w:r w:rsidR="009C68D7" w:rsidRPr="009E28D3">
        <w:rPr>
          <w:rFonts w:ascii="Arial Narrow" w:hAnsi="Arial Narrow"/>
        </w:rPr>
        <w:t xml:space="preserve">, </w:t>
      </w:r>
      <w:r w:rsidR="00081E7B" w:rsidRPr="009E28D3">
        <w:rPr>
          <w:rFonts w:ascii="Arial Narrow" w:hAnsi="Arial Narrow"/>
        </w:rPr>
        <w:t>η πρακτική</w:t>
      </w:r>
      <w:r w:rsidR="00491456" w:rsidRPr="009E28D3">
        <w:rPr>
          <w:rFonts w:ascii="Arial Narrow" w:hAnsi="Arial Narrow"/>
        </w:rPr>
        <w:t xml:space="preserve"> αυτή</w:t>
      </w:r>
      <w:r w:rsidR="009C68D7" w:rsidRPr="009E28D3">
        <w:rPr>
          <w:rFonts w:ascii="Arial Narrow" w:hAnsi="Arial Narrow"/>
        </w:rPr>
        <w:t xml:space="preserve"> αποτελεί</w:t>
      </w:r>
      <w:r w:rsidR="00491456" w:rsidRPr="009E28D3">
        <w:rPr>
          <w:rFonts w:ascii="Arial Narrow" w:hAnsi="Arial Narrow"/>
        </w:rPr>
        <w:t xml:space="preserve"> το</w:t>
      </w:r>
      <w:r w:rsidR="009C68D7" w:rsidRPr="009E28D3">
        <w:rPr>
          <w:rFonts w:ascii="Arial Narrow" w:hAnsi="Arial Narrow"/>
        </w:rPr>
        <w:t xml:space="preserve"> </w:t>
      </w:r>
      <w:r w:rsidR="00081E7B" w:rsidRPr="009E28D3">
        <w:rPr>
          <w:rFonts w:ascii="Arial Narrow" w:hAnsi="Arial Narrow"/>
        </w:rPr>
        <w:t xml:space="preserve">έσχατο καταφύγιο μείωσης λειτουργικού κόστους και </w:t>
      </w:r>
      <w:r w:rsidR="009C68D7" w:rsidRPr="009E28D3">
        <w:rPr>
          <w:rFonts w:ascii="Arial Narrow" w:hAnsi="Arial Narrow"/>
        </w:rPr>
        <w:t xml:space="preserve">το μοναδικό εργαλείο </w:t>
      </w:r>
      <w:r w:rsidR="00081E7B" w:rsidRPr="009E28D3">
        <w:rPr>
          <w:rFonts w:ascii="Arial Narrow" w:hAnsi="Arial Narrow"/>
        </w:rPr>
        <w:t xml:space="preserve">το </w:t>
      </w:r>
      <w:r w:rsidR="009C68D7" w:rsidRPr="009E28D3">
        <w:rPr>
          <w:rFonts w:ascii="Arial Narrow" w:hAnsi="Arial Narrow"/>
        </w:rPr>
        <w:t>οποίο είναι ελέγξιμο από τις ΜΜΕ.</w:t>
      </w:r>
      <w:r w:rsidR="007076AD" w:rsidRPr="009E28D3">
        <w:rPr>
          <w:rFonts w:ascii="Arial Narrow" w:hAnsi="Arial Narrow"/>
        </w:rPr>
        <w:t xml:space="preserve"> </w:t>
      </w:r>
      <w:r w:rsidR="00081E7B" w:rsidRPr="009E28D3">
        <w:rPr>
          <w:rFonts w:ascii="Arial Narrow" w:hAnsi="Arial Narrow"/>
        </w:rPr>
        <w:t xml:space="preserve">Η επιχειρηματική αναδιάρθρωση στη μορφή αυτή περιλαμβάνει μια βίαιη αναπροσαρμογή μισθών και κερδών της μικρομεσαίας επιχείρησης με </w:t>
      </w:r>
      <w:r w:rsidR="007076AD" w:rsidRPr="009E28D3">
        <w:rPr>
          <w:rFonts w:ascii="Arial Narrow" w:hAnsi="Arial Narrow"/>
        </w:rPr>
        <w:t xml:space="preserve">μοναδικό </w:t>
      </w:r>
      <w:r w:rsidR="00081E7B" w:rsidRPr="009E28D3">
        <w:rPr>
          <w:rFonts w:ascii="Arial Narrow" w:hAnsi="Arial Narrow"/>
        </w:rPr>
        <w:t>στόχο την επιβίωση</w:t>
      </w:r>
      <w:r w:rsidR="007076AD" w:rsidRPr="009E28D3">
        <w:rPr>
          <w:rFonts w:ascii="Arial Narrow" w:hAnsi="Arial Narrow"/>
        </w:rPr>
        <w:t xml:space="preserve"> της επιχείρησης.</w:t>
      </w:r>
      <w:r w:rsidR="009C68D7" w:rsidRPr="009E28D3">
        <w:rPr>
          <w:rFonts w:ascii="Arial Narrow" w:hAnsi="Arial Narrow"/>
        </w:rPr>
        <w:t xml:space="preserve"> </w:t>
      </w:r>
    </w:p>
    <w:p w:rsidR="00B640C8" w:rsidRPr="00925A9D" w:rsidRDefault="00B640C8" w:rsidP="002F5084">
      <w:pPr>
        <w:jc w:val="both"/>
        <w:rPr>
          <w:rFonts w:ascii="Arial Narrow" w:hAnsi="Arial Narrow"/>
          <w:color w:val="FF0000"/>
        </w:rPr>
      </w:pPr>
    </w:p>
    <w:tbl>
      <w:tblPr>
        <w:tblW w:w="10685" w:type="dxa"/>
        <w:tblLayout w:type="fixed"/>
        <w:tblLook w:val="01E0" w:firstRow="1" w:lastRow="1" w:firstColumn="1" w:lastColumn="1" w:noHBand="0" w:noVBand="0"/>
      </w:tblPr>
      <w:tblGrid>
        <w:gridCol w:w="5328"/>
        <w:gridCol w:w="5357"/>
      </w:tblGrid>
      <w:tr w:rsidR="00B640C8" w:rsidRPr="008F2928" w:rsidTr="00DB5484">
        <w:trPr>
          <w:trHeight w:val="284"/>
        </w:trPr>
        <w:tc>
          <w:tcPr>
            <w:tcW w:w="5328" w:type="dxa"/>
          </w:tcPr>
          <w:p w:rsidR="00B640C8" w:rsidRPr="00FE4445" w:rsidRDefault="00B640C8" w:rsidP="002F5084">
            <w:pPr>
              <w:jc w:val="center"/>
              <w:rPr>
                <w:rFonts w:ascii="Arial Narrow" w:hAnsi="Arial Narrow"/>
                <w:b/>
                <w:bCs/>
                <w:sz w:val="20"/>
                <w:szCs w:val="20"/>
                <w:u w:val="single"/>
              </w:rPr>
            </w:pPr>
            <w:r w:rsidRPr="00FE4445">
              <w:rPr>
                <w:rFonts w:ascii="Arial Narrow" w:hAnsi="Arial Narrow"/>
                <w:b/>
                <w:bCs/>
                <w:sz w:val="20"/>
                <w:szCs w:val="20"/>
                <w:u w:val="single"/>
              </w:rPr>
              <w:t xml:space="preserve">ΔΙΑΓΡΑΜΜΑ </w:t>
            </w:r>
            <w:r>
              <w:rPr>
                <w:rFonts w:ascii="Arial Narrow" w:hAnsi="Arial Narrow"/>
                <w:b/>
                <w:bCs/>
                <w:sz w:val="20"/>
                <w:szCs w:val="20"/>
                <w:u w:val="single"/>
              </w:rPr>
              <w:t>5</w:t>
            </w:r>
          </w:p>
        </w:tc>
        <w:tc>
          <w:tcPr>
            <w:tcW w:w="5357" w:type="dxa"/>
          </w:tcPr>
          <w:p w:rsidR="00B640C8" w:rsidRPr="00FE4445" w:rsidRDefault="00B640C8" w:rsidP="00DB5484">
            <w:pPr>
              <w:tabs>
                <w:tab w:val="left" w:pos="8280"/>
              </w:tabs>
              <w:ind w:right="26"/>
              <w:jc w:val="center"/>
              <w:rPr>
                <w:rFonts w:ascii="Arial Narrow" w:hAnsi="Arial Narrow"/>
                <w:b/>
                <w:bCs/>
                <w:sz w:val="20"/>
                <w:szCs w:val="20"/>
                <w:u w:val="single"/>
              </w:rPr>
            </w:pPr>
            <w:r w:rsidRPr="00FE4445">
              <w:rPr>
                <w:rFonts w:ascii="Arial Narrow" w:hAnsi="Arial Narrow"/>
                <w:b/>
                <w:bCs/>
                <w:sz w:val="20"/>
                <w:szCs w:val="20"/>
                <w:u w:val="single"/>
              </w:rPr>
              <w:t>ΔΙΑΓΡΑΜΜΑ</w:t>
            </w:r>
            <w:r>
              <w:rPr>
                <w:rFonts w:ascii="Arial Narrow" w:hAnsi="Arial Narrow"/>
                <w:b/>
                <w:bCs/>
                <w:sz w:val="20"/>
                <w:szCs w:val="20"/>
                <w:u w:val="single"/>
              </w:rPr>
              <w:t xml:space="preserve"> 6</w:t>
            </w:r>
          </w:p>
        </w:tc>
      </w:tr>
      <w:tr w:rsidR="00B640C8" w:rsidRPr="008F2928" w:rsidTr="00265EE5">
        <w:trPr>
          <w:trHeight w:val="4145"/>
        </w:trPr>
        <w:tc>
          <w:tcPr>
            <w:tcW w:w="5328" w:type="dxa"/>
          </w:tcPr>
          <w:p w:rsidR="00B640C8" w:rsidRPr="00741FD2" w:rsidRDefault="00B640C8" w:rsidP="00741FD2">
            <w:pPr>
              <w:jc w:val="center"/>
              <w:rPr>
                <w:rFonts w:ascii="Arial Narrow" w:hAnsi="Arial Narrow"/>
                <w:b/>
                <w:bCs/>
                <w:color w:val="FF0000"/>
                <w:sz w:val="18"/>
                <w:szCs w:val="18"/>
              </w:rPr>
            </w:pPr>
            <w:r w:rsidRPr="00741FD2">
              <w:rPr>
                <w:rFonts w:ascii="Arial Narrow" w:hAnsi="Arial Narrow"/>
                <w:b/>
                <w:bCs/>
                <w:sz w:val="18"/>
                <w:szCs w:val="18"/>
              </w:rPr>
              <w:t xml:space="preserve">Έχουν αναγκαστεί να μειώσουν τις αποδοχές κάποιων υπαλλήλων </w:t>
            </w:r>
            <w:r w:rsidRPr="00741FD2">
              <w:rPr>
                <w:rFonts w:ascii="Arial Narrow" w:hAnsi="Arial Narrow"/>
                <w:b/>
                <w:bCs/>
                <w:sz w:val="18"/>
                <w:szCs w:val="18"/>
              </w:rPr>
              <w:br/>
            </w:r>
            <w:r w:rsidRPr="00741FD2">
              <w:rPr>
                <w:rFonts w:ascii="Arial Narrow" w:hAnsi="Arial Narrow"/>
                <w:b/>
                <w:bCs/>
                <w:i/>
                <w:iCs/>
                <w:color w:val="FF0000"/>
                <w:sz w:val="18"/>
                <w:szCs w:val="18"/>
              </w:rPr>
              <w:t xml:space="preserve">-Βάση: Όσοι απασχολούν αμειβόμενο προσωπικό - </w:t>
            </w:r>
          </w:p>
          <w:p w:rsidR="00B640C8" w:rsidRPr="004724A0" w:rsidRDefault="00B640C8" w:rsidP="004724A0">
            <w:pPr>
              <w:jc w:val="center"/>
              <w:rPr>
                <w:rFonts w:ascii="Arial Narrow" w:hAnsi="Arial Narrow"/>
                <w:b/>
                <w:bCs/>
                <w:color w:val="FF0000"/>
                <w:sz w:val="18"/>
                <w:szCs w:val="18"/>
              </w:rPr>
            </w:pPr>
          </w:p>
          <w:p w:rsidR="000E725F" w:rsidRPr="000E725F" w:rsidRDefault="00D932C8" w:rsidP="000E725F">
            <w:pPr>
              <w:spacing w:after="200" w:line="276" w:lineRule="auto"/>
              <w:rPr>
                <w:rFonts w:ascii="Calibri" w:eastAsia="Calibri" w:hAnsi="Calibri"/>
                <w:sz w:val="22"/>
                <w:szCs w:val="22"/>
                <w:lang w:eastAsia="en-US"/>
              </w:rPr>
            </w:pPr>
            <w:r>
              <w:rPr>
                <w:rFonts w:ascii="Arial Narrow" w:hAnsi="Arial Narrow"/>
                <w:b/>
                <w:bCs/>
                <w:noProof/>
                <w:sz w:val="18"/>
                <w:szCs w:val="18"/>
              </w:rPr>
              <w:drawing>
                <wp:anchor distT="0" distB="0" distL="114300" distR="114300" simplePos="0" relativeHeight="251670016" behindDoc="0" locked="0" layoutInCell="1" allowOverlap="1" wp14:anchorId="1CD61C80" wp14:editId="5D1024FA">
                  <wp:simplePos x="0" y="0"/>
                  <wp:positionH relativeFrom="column">
                    <wp:posOffset>-518233</wp:posOffset>
                  </wp:positionH>
                  <wp:positionV relativeFrom="paragraph">
                    <wp:posOffset>19626</wp:posOffset>
                  </wp:positionV>
                  <wp:extent cx="4464675" cy="2668772"/>
                  <wp:effectExtent l="0" t="0" r="0" b="0"/>
                  <wp:wrapNone/>
                  <wp:docPr id="22" name="Γράφημα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7715EA">
              <w:rPr>
                <w:rFonts w:ascii="Arial Narrow" w:hAnsi="Arial Narrow"/>
                <w:b/>
                <w:bCs/>
                <w:noProof/>
                <w:sz w:val="18"/>
                <w:szCs w:val="18"/>
              </w:rPr>
              <w:drawing>
                <wp:anchor distT="0" distB="0" distL="114300" distR="114300" simplePos="0" relativeHeight="251668992" behindDoc="0" locked="0" layoutInCell="1" allowOverlap="1" wp14:anchorId="18E45C18" wp14:editId="0BADCE87">
                  <wp:simplePos x="0" y="0"/>
                  <wp:positionH relativeFrom="column">
                    <wp:posOffset>3267075</wp:posOffset>
                  </wp:positionH>
                  <wp:positionV relativeFrom="paragraph">
                    <wp:posOffset>19685</wp:posOffset>
                  </wp:positionV>
                  <wp:extent cx="3710305" cy="2955290"/>
                  <wp:effectExtent l="0" t="0" r="0" b="0"/>
                  <wp:wrapNone/>
                  <wp:docPr id="18" name="Γράφημα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B640C8" w:rsidRPr="00512E98" w:rsidRDefault="00B640C8" w:rsidP="00512E98">
            <w:pPr>
              <w:spacing w:after="200" w:line="276" w:lineRule="auto"/>
              <w:rPr>
                <w:rFonts w:ascii="Calibri" w:eastAsia="Calibri" w:hAnsi="Calibri"/>
                <w:sz w:val="22"/>
                <w:szCs w:val="22"/>
                <w:lang w:eastAsia="en-US"/>
              </w:rPr>
            </w:pPr>
          </w:p>
        </w:tc>
        <w:tc>
          <w:tcPr>
            <w:tcW w:w="5357" w:type="dxa"/>
          </w:tcPr>
          <w:p w:rsidR="00B640C8" w:rsidRPr="00741FD2" w:rsidRDefault="00B640C8" w:rsidP="00741FD2">
            <w:pPr>
              <w:tabs>
                <w:tab w:val="left" w:pos="8280"/>
              </w:tabs>
              <w:ind w:right="26"/>
              <w:jc w:val="center"/>
              <w:rPr>
                <w:rFonts w:ascii="Arial Narrow" w:hAnsi="Arial Narrow"/>
                <w:b/>
                <w:color w:val="FF0000"/>
                <w:sz w:val="18"/>
                <w:szCs w:val="18"/>
              </w:rPr>
            </w:pPr>
            <w:r w:rsidRPr="00741FD2">
              <w:rPr>
                <w:rFonts w:ascii="Arial Narrow" w:hAnsi="Arial Narrow"/>
                <w:b/>
                <w:bCs/>
                <w:sz w:val="18"/>
                <w:szCs w:val="18"/>
              </w:rPr>
              <w:t xml:space="preserve">Έχουν αναγκαστεί έστω και περιστασιακά να μειώσουν ώρες </w:t>
            </w:r>
            <w:r w:rsidRPr="00741FD2">
              <w:rPr>
                <w:rFonts w:ascii="Arial Narrow" w:hAnsi="Arial Narrow"/>
                <w:b/>
                <w:bCs/>
                <w:sz w:val="18"/>
                <w:szCs w:val="18"/>
              </w:rPr>
              <w:br/>
              <w:t>ή ημέρες εργασίας σε κάποιους υπαλλήλους</w:t>
            </w:r>
            <w:r w:rsidRPr="00741FD2">
              <w:rPr>
                <w:rFonts w:ascii="Arial Narrow" w:hAnsi="Arial Narrow"/>
                <w:b/>
                <w:bCs/>
                <w:sz w:val="18"/>
                <w:szCs w:val="18"/>
              </w:rPr>
              <w:br/>
            </w:r>
            <w:r w:rsidRPr="00741FD2">
              <w:rPr>
                <w:rFonts w:ascii="Arial Narrow" w:hAnsi="Arial Narrow"/>
                <w:b/>
                <w:bCs/>
                <w:i/>
                <w:iCs/>
                <w:color w:val="FF0000"/>
                <w:sz w:val="18"/>
                <w:szCs w:val="18"/>
              </w:rPr>
              <w:t xml:space="preserve">-Βάση: Όσοι απασχολούν αμειβόμενο προσωπικό </w:t>
            </w:r>
            <w:r>
              <w:rPr>
                <w:rFonts w:ascii="Arial Narrow" w:hAnsi="Arial Narrow"/>
                <w:b/>
                <w:bCs/>
                <w:i/>
                <w:iCs/>
                <w:color w:val="FF0000"/>
                <w:sz w:val="18"/>
                <w:szCs w:val="18"/>
              </w:rPr>
              <w:t>-</w:t>
            </w:r>
          </w:p>
          <w:p w:rsidR="00B640C8" w:rsidRDefault="00B640C8" w:rsidP="00530525">
            <w:pPr>
              <w:tabs>
                <w:tab w:val="left" w:pos="8280"/>
              </w:tabs>
              <w:ind w:right="26"/>
              <w:jc w:val="both"/>
              <w:rPr>
                <w:rFonts w:ascii="Arial Narrow" w:hAnsi="Arial Narrow"/>
                <w:b/>
              </w:rPr>
            </w:pPr>
          </w:p>
          <w:p w:rsidR="00B640C8" w:rsidRPr="00741FD2" w:rsidRDefault="00B640C8" w:rsidP="00530525">
            <w:pPr>
              <w:tabs>
                <w:tab w:val="left" w:pos="8280"/>
              </w:tabs>
              <w:ind w:right="26"/>
              <w:jc w:val="both"/>
              <w:rPr>
                <w:rFonts w:ascii="Arial Narrow" w:hAnsi="Arial Narrow"/>
                <w:b/>
              </w:rPr>
            </w:pPr>
          </w:p>
        </w:tc>
      </w:tr>
    </w:tbl>
    <w:p w:rsidR="009C68D7" w:rsidRDefault="009C68D7" w:rsidP="000A2862">
      <w:pPr>
        <w:jc w:val="both"/>
        <w:rPr>
          <w:rFonts w:ascii="Arial Narrow" w:hAnsi="Arial Narrow"/>
        </w:rPr>
      </w:pPr>
    </w:p>
    <w:p w:rsidR="007715EA" w:rsidRDefault="007715EA" w:rsidP="000A2862">
      <w:pPr>
        <w:jc w:val="both"/>
        <w:rPr>
          <w:rFonts w:ascii="Arial Narrow" w:hAnsi="Arial Narrow"/>
        </w:rPr>
      </w:pPr>
    </w:p>
    <w:p w:rsidR="007715EA" w:rsidRDefault="007715EA" w:rsidP="000A2862">
      <w:pPr>
        <w:jc w:val="both"/>
        <w:rPr>
          <w:rFonts w:ascii="Arial Narrow" w:hAnsi="Arial Narrow"/>
        </w:rPr>
      </w:pPr>
    </w:p>
    <w:p w:rsidR="007715EA" w:rsidRPr="004724A0" w:rsidRDefault="007715EA" w:rsidP="000A2862">
      <w:pPr>
        <w:jc w:val="both"/>
        <w:rPr>
          <w:rFonts w:ascii="Arial Narrow" w:hAnsi="Arial Narrow"/>
        </w:rPr>
      </w:pPr>
    </w:p>
    <w:p w:rsidR="00BE275B" w:rsidRDefault="00B640C8" w:rsidP="00BE275B">
      <w:pPr>
        <w:numPr>
          <w:ilvl w:val="0"/>
          <w:numId w:val="1"/>
        </w:numPr>
        <w:tabs>
          <w:tab w:val="clear" w:pos="1080"/>
          <w:tab w:val="num" w:pos="360"/>
        </w:tabs>
        <w:ind w:left="360"/>
        <w:jc w:val="both"/>
        <w:rPr>
          <w:rFonts w:ascii="Arial Narrow" w:hAnsi="Arial Narrow"/>
        </w:rPr>
      </w:pPr>
      <w:r w:rsidRPr="008F2928">
        <w:rPr>
          <w:rFonts w:ascii="Arial Narrow" w:hAnsi="Arial Narrow"/>
          <w:b/>
          <w:u w:val="single"/>
        </w:rPr>
        <w:t xml:space="preserve">ΟΦΕΙΛΕΣ </w:t>
      </w:r>
      <w:r w:rsidR="00BE275B">
        <w:rPr>
          <w:rFonts w:ascii="Arial Narrow" w:hAnsi="Arial Narrow"/>
          <w:b/>
          <w:u w:val="single"/>
        </w:rPr>
        <w:t>ΚΑΙ ΑΠΑΙΤΗΣΕΙΣ</w:t>
      </w:r>
      <w:r w:rsidR="00BE275B" w:rsidRPr="008F2928">
        <w:rPr>
          <w:rFonts w:ascii="Arial Narrow" w:hAnsi="Arial Narrow"/>
          <w:b/>
          <w:u w:val="single"/>
        </w:rPr>
        <w:t xml:space="preserve"> </w:t>
      </w:r>
      <w:r w:rsidRPr="008F2928">
        <w:rPr>
          <w:rFonts w:ascii="Arial Narrow" w:hAnsi="Arial Narrow"/>
          <w:b/>
          <w:u w:val="single"/>
        </w:rPr>
        <w:t>ΕΠΙΧΕΙΡΗΣΕΩΝ</w:t>
      </w:r>
    </w:p>
    <w:p w:rsidR="00BE275B" w:rsidRDefault="00BE275B" w:rsidP="008716B3">
      <w:pPr>
        <w:jc w:val="both"/>
        <w:rPr>
          <w:rFonts w:ascii="Arial Narrow" w:hAnsi="Arial Narrow"/>
        </w:rPr>
      </w:pPr>
    </w:p>
    <w:p w:rsidR="003A180D" w:rsidRDefault="00D932C8" w:rsidP="00D932C8">
      <w:pPr>
        <w:pStyle w:val="aa"/>
        <w:numPr>
          <w:ilvl w:val="0"/>
          <w:numId w:val="13"/>
        </w:numPr>
        <w:tabs>
          <w:tab w:val="num" w:pos="426"/>
        </w:tabs>
        <w:ind w:left="426" w:hanging="426"/>
        <w:jc w:val="both"/>
        <w:rPr>
          <w:rFonts w:ascii="Arial Narrow" w:hAnsi="Arial Narrow"/>
        </w:rPr>
      </w:pPr>
      <w:r w:rsidRPr="003A180D">
        <w:rPr>
          <w:rFonts w:ascii="Arial Narrow" w:hAnsi="Arial Narrow"/>
        </w:rPr>
        <w:t xml:space="preserve">Αναμφίβολα, το σημαντικότερο πρόβλημα που αντιμετώπισαν οι επιχειρήσεις μέσα στο 2014 είναι η παγιωμένη αδυναμία τους να ξεφύγουν από την παγίδα των πολύ υψηλών φορολογικών και ασφαλιστικών υποχρεώσεων. </w:t>
      </w:r>
    </w:p>
    <w:p w:rsidR="003A180D" w:rsidRPr="003A180D" w:rsidRDefault="00796377" w:rsidP="00D932C8">
      <w:pPr>
        <w:pStyle w:val="aa"/>
        <w:numPr>
          <w:ilvl w:val="0"/>
          <w:numId w:val="13"/>
        </w:numPr>
        <w:tabs>
          <w:tab w:val="num" w:pos="426"/>
        </w:tabs>
        <w:ind w:left="426" w:hanging="426"/>
        <w:jc w:val="both"/>
        <w:rPr>
          <w:rFonts w:ascii="Arial Narrow" w:hAnsi="Arial Narrow"/>
        </w:rPr>
      </w:pPr>
      <w:r>
        <w:rPr>
          <w:rFonts w:ascii="Arial Narrow" w:hAnsi="Arial Narrow"/>
          <w:b/>
        </w:rPr>
        <w:t>Τ</w:t>
      </w:r>
      <w:r w:rsidR="003A180D" w:rsidRPr="003A180D">
        <w:rPr>
          <w:rFonts w:ascii="Arial Narrow" w:hAnsi="Arial Narrow"/>
          <w:b/>
        </w:rPr>
        <w:t xml:space="preserve">ο μεγαλύτερο μέρος των καθυστερημένων οφειλών των επιχειρήσεων αφορά τις ασφαλιστικές οφειλές προς  </w:t>
      </w:r>
      <w:r w:rsidR="003A180D" w:rsidRPr="003A180D">
        <w:rPr>
          <w:rFonts w:ascii="Arial Narrow" w:hAnsi="Arial Narrow"/>
        </w:rPr>
        <w:t>το κύριο ασφαλιστικό ταμείο των επαγγελματιών, τον</w:t>
      </w:r>
      <w:r w:rsidR="003A180D" w:rsidRPr="003A180D">
        <w:rPr>
          <w:rFonts w:ascii="Arial Narrow" w:hAnsi="Arial Narrow"/>
          <w:b/>
        </w:rPr>
        <w:t xml:space="preserve"> ΟΑΕΕ (38,1%, διάγραμμα 7).</w:t>
      </w:r>
      <w:r w:rsidR="003A180D" w:rsidRPr="003A180D">
        <w:rPr>
          <w:rFonts w:ascii="Arial Narrow" w:hAnsi="Arial Narrow"/>
        </w:rPr>
        <w:t xml:space="preserve"> </w:t>
      </w:r>
      <w:r w:rsidR="00D932C8" w:rsidRPr="003A180D">
        <w:rPr>
          <w:rFonts w:ascii="Arial Narrow" w:hAnsi="Arial Narrow"/>
        </w:rPr>
        <w:t xml:space="preserve"> </w:t>
      </w:r>
      <w:r w:rsidR="004B5E23">
        <w:rPr>
          <w:rFonts w:ascii="Arial Narrow" w:hAnsi="Arial Narrow"/>
        </w:rPr>
        <w:t xml:space="preserve">Σύμφωνα με τα πιο πρόσφατα στοιχεία του οργανισμού έχει αυξηθεί κατά 50% την τελευταία διετία ο αριθμός των οφειλετών στην κατηγορία με χρέη &gt;20,000 (150,000 οφειλέτες). </w:t>
      </w:r>
    </w:p>
    <w:p w:rsidR="00D932C8" w:rsidRPr="003A180D" w:rsidRDefault="003A180D" w:rsidP="00D932C8">
      <w:pPr>
        <w:pStyle w:val="aa"/>
        <w:numPr>
          <w:ilvl w:val="0"/>
          <w:numId w:val="13"/>
        </w:numPr>
        <w:tabs>
          <w:tab w:val="num" w:pos="426"/>
        </w:tabs>
        <w:ind w:left="426" w:hanging="426"/>
        <w:jc w:val="both"/>
        <w:rPr>
          <w:rFonts w:ascii="Arial Narrow" w:hAnsi="Arial Narrow"/>
        </w:rPr>
      </w:pPr>
      <w:r>
        <w:rPr>
          <w:rFonts w:ascii="Arial Narrow" w:hAnsi="Arial Narrow"/>
        </w:rPr>
        <w:t>Σταθερά αυξητική τάση παρουσιάζει ο αριθμός των οφειλετών με ληξιπρόθεσμες φορολογικές υποχρεώσεις</w:t>
      </w:r>
      <w:r w:rsidR="00D932C8" w:rsidRPr="003A180D">
        <w:rPr>
          <w:rFonts w:ascii="Arial Narrow" w:hAnsi="Arial Narrow"/>
        </w:rPr>
        <w:t xml:space="preserve"> </w:t>
      </w:r>
      <w:r>
        <w:rPr>
          <w:rFonts w:ascii="Arial Narrow" w:hAnsi="Arial Narrow"/>
        </w:rPr>
        <w:t>(31,9%</w:t>
      </w:r>
      <w:r w:rsidR="00D932C8" w:rsidRPr="003A180D">
        <w:rPr>
          <w:rFonts w:ascii="Arial Narrow" w:hAnsi="Arial Narrow"/>
        </w:rPr>
        <w:t>). Είναι χαρακτηριστικό ότι πάνω από το 20% των επιχειρήσεων εκτιμούν ότι δεν θα ανταποκριθούν στις φορολογικές υποχρεώσεις του 2015.</w:t>
      </w:r>
    </w:p>
    <w:p w:rsidR="00356BAD" w:rsidRDefault="00D6031F" w:rsidP="00356BAD">
      <w:pPr>
        <w:pStyle w:val="aa"/>
        <w:numPr>
          <w:ilvl w:val="0"/>
          <w:numId w:val="13"/>
        </w:numPr>
        <w:tabs>
          <w:tab w:val="left" w:pos="426"/>
        </w:tabs>
        <w:ind w:left="426" w:hanging="426"/>
        <w:jc w:val="both"/>
        <w:rPr>
          <w:rFonts w:ascii="Arial Narrow" w:hAnsi="Arial Narrow"/>
        </w:rPr>
      </w:pPr>
      <w:r w:rsidRPr="00AF2A1D">
        <w:rPr>
          <w:rFonts w:ascii="Arial Narrow" w:hAnsi="Arial Narrow"/>
        </w:rPr>
        <w:t>Οι οφειλές</w:t>
      </w:r>
      <w:r w:rsidR="00DB2DF1" w:rsidRPr="00AF2A1D">
        <w:rPr>
          <w:rFonts w:ascii="Arial Narrow" w:hAnsi="Arial Narrow"/>
        </w:rPr>
        <w:t xml:space="preserve"> </w:t>
      </w:r>
      <w:r w:rsidRPr="00AF2A1D">
        <w:rPr>
          <w:rFonts w:ascii="Arial Narrow" w:hAnsi="Arial Narrow"/>
        </w:rPr>
        <w:t xml:space="preserve">προς </w:t>
      </w:r>
      <w:r w:rsidR="00DB2DF1" w:rsidRPr="00AF2A1D">
        <w:rPr>
          <w:rFonts w:ascii="Arial Narrow" w:hAnsi="Arial Narrow"/>
        </w:rPr>
        <w:t xml:space="preserve">τις ΔΕΚΟ </w:t>
      </w:r>
      <w:r w:rsidR="009D01B3" w:rsidRPr="00AF2A1D">
        <w:rPr>
          <w:rFonts w:ascii="Arial Narrow" w:hAnsi="Arial Narrow"/>
        </w:rPr>
        <w:t xml:space="preserve"> ανέρχονται στο </w:t>
      </w:r>
      <w:r w:rsidR="003A180D" w:rsidRPr="00AF2A1D">
        <w:rPr>
          <w:rFonts w:ascii="Arial Narrow" w:hAnsi="Arial Narrow"/>
        </w:rPr>
        <w:t>25,5</w:t>
      </w:r>
      <w:r w:rsidR="0067437B" w:rsidRPr="00AF2A1D">
        <w:rPr>
          <w:rFonts w:ascii="Arial Narrow" w:hAnsi="Arial Narrow"/>
        </w:rPr>
        <w:t xml:space="preserve">%, </w:t>
      </w:r>
      <w:r w:rsidR="003A180D" w:rsidRPr="00AF2A1D">
        <w:rPr>
          <w:rFonts w:ascii="Arial Narrow" w:hAnsi="Arial Narrow"/>
        </w:rPr>
        <w:t xml:space="preserve">προς </w:t>
      </w:r>
      <w:r w:rsidR="0067437B" w:rsidRPr="00AF2A1D">
        <w:rPr>
          <w:rFonts w:ascii="Tahoma" w:hAnsi="Tahoma" w:cs="Tahoma"/>
          <w:sz w:val="22"/>
          <w:szCs w:val="22"/>
        </w:rPr>
        <w:t xml:space="preserve">τις τράπεζες στο </w:t>
      </w:r>
      <w:r w:rsidR="003A180D" w:rsidRPr="00AF2A1D">
        <w:rPr>
          <w:rFonts w:ascii="Tahoma" w:hAnsi="Tahoma" w:cs="Tahoma"/>
          <w:sz w:val="22"/>
          <w:szCs w:val="22"/>
        </w:rPr>
        <w:t>15,7</w:t>
      </w:r>
      <w:r w:rsidR="0067437B" w:rsidRPr="00AF2A1D">
        <w:rPr>
          <w:rFonts w:ascii="Tahoma" w:hAnsi="Tahoma" w:cs="Tahoma"/>
          <w:sz w:val="22"/>
          <w:szCs w:val="22"/>
        </w:rPr>
        <w:t xml:space="preserve">% </w:t>
      </w:r>
      <w:r w:rsidR="00DB2DF1" w:rsidRPr="00AF2A1D">
        <w:rPr>
          <w:rFonts w:ascii="Arial Narrow" w:hAnsi="Arial Narrow"/>
        </w:rPr>
        <w:t xml:space="preserve">και </w:t>
      </w:r>
      <w:r w:rsidR="009D01B3" w:rsidRPr="00AF2A1D">
        <w:rPr>
          <w:rFonts w:ascii="Arial Narrow" w:hAnsi="Arial Narrow"/>
        </w:rPr>
        <w:t>σ</w:t>
      </w:r>
      <w:r w:rsidR="00DB2DF1" w:rsidRPr="00AF2A1D">
        <w:rPr>
          <w:rFonts w:ascii="Arial Narrow" w:hAnsi="Arial Narrow"/>
        </w:rPr>
        <w:t xml:space="preserve">το ΙΚΑ </w:t>
      </w:r>
      <w:r w:rsidR="003A180D" w:rsidRPr="00AF2A1D">
        <w:rPr>
          <w:rFonts w:ascii="Arial Narrow" w:hAnsi="Arial Narrow"/>
        </w:rPr>
        <w:t>το 13</w:t>
      </w:r>
      <w:r w:rsidR="0067437B" w:rsidRPr="00AF2A1D">
        <w:rPr>
          <w:rFonts w:ascii="Arial Narrow" w:hAnsi="Arial Narrow"/>
        </w:rPr>
        <w:t>%</w:t>
      </w:r>
      <w:r w:rsidR="00CE7B9F">
        <w:rPr>
          <w:rFonts w:ascii="Arial Narrow" w:hAnsi="Arial Narrow"/>
        </w:rPr>
        <w:t xml:space="preserve">. </w:t>
      </w:r>
      <w:r w:rsidR="00796377">
        <w:rPr>
          <w:rFonts w:ascii="Arial Narrow" w:hAnsi="Arial Narrow"/>
        </w:rPr>
        <w:t xml:space="preserve">1 </w:t>
      </w:r>
      <w:r w:rsidR="00DB2DF1" w:rsidRPr="00AF2A1D">
        <w:rPr>
          <w:rFonts w:ascii="Arial Narrow" w:hAnsi="Arial Narrow"/>
        </w:rPr>
        <w:t>στις 4 επιχειρήσεις έχει καθυστερούμενες οφειλές σε προμηθευτές κ</w:t>
      </w:r>
      <w:r w:rsidR="0067437B" w:rsidRPr="00AF2A1D">
        <w:rPr>
          <w:rFonts w:ascii="Arial Narrow" w:hAnsi="Arial Narrow"/>
        </w:rPr>
        <w:t xml:space="preserve">αι </w:t>
      </w:r>
      <w:r w:rsidR="00AF2A1D" w:rsidRPr="00AF2A1D">
        <w:rPr>
          <w:rFonts w:ascii="Arial Narrow" w:hAnsi="Arial Narrow"/>
        </w:rPr>
        <w:t xml:space="preserve"> το 17,9% σε </w:t>
      </w:r>
      <w:r w:rsidR="0067437B" w:rsidRPr="00AF2A1D">
        <w:rPr>
          <w:rFonts w:ascii="Arial Narrow" w:hAnsi="Arial Narrow"/>
        </w:rPr>
        <w:t>ενοίκια</w:t>
      </w:r>
      <w:r w:rsidR="00DB2DF1" w:rsidRPr="00AF2A1D">
        <w:rPr>
          <w:rFonts w:ascii="Arial Narrow" w:hAnsi="Arial Narrow"/>
        </w:rPr>
        <w:t>.</w:t>
      </w:r>
      <w:r w:rsidR="00AF2A1D">
        <w:t xml:space="preserve"> </w:t>
      </w:r>
      <w:r w:rsidR="00AF2A1D" w:rsidRPr="00AF2A1D">
        <w:rPr>
          <w:rFonts w:ascii="Arial Narrow" w:hAnsi="Arial Narrow"/>
        </w:rPr>
        <w:t>Στις κατηγορίες οφειλών προς τον ιδιωτικό τομέα, παρατηρείται ύφεση του φαινομένου υπερχρέωσης,</w:t>
      </w:r>
      <w:r w:rsidR="00AF2A1D">
        <w:rPr>
          <w:rFonts w:ascii="Arial Narrow" w:hAnsi="Arial Narrow"/>
        </w:rPr>
        <w:t xml:space="preserve"> </w:t>
      </w:r>
      <w:r w:rsidR="00AF2A1D" w:rsidRPr="00AF2A1D">
        <w:rPr>
          <w:rFonts w:ascii="Arial Narrow" w:hAnsi="Arial Narrow"/>
        </w:rPr>
        <w:t>λόγω έγκαιρης</w:t>
      </w:r>
      <w:r w:rsidR="00796377">
        <w:rPr>
          <w:rFonts w:ascii="Arial Narrow" w:hAnsi="Arial Narrow"/>
        </w:rPr>
        <w:t xml:space="preserve"> </w:t>
      </w:r>
      <w:r w:rsidR="00AF2A1D" w:rsidRPr="00AF2A1D">
        <w:rPr>
          <w:rFonts w:ascii="Arial Narrow" w:hAnsi="Arial Narrow"/>
        </w:rPr>
        <w:t xml:space="preserve">ενδεχομένως προσαρμογής της αγοράς στις πραγματικής ανάγκες της οικονομίας. Ανάλογη συμπεριφορά πρέπει να επιδειχθεί και από μέρους του δημόσιου τομέα. </w:t>
      </w:r>
    </w:p>
    <w:p w:rsidR="00356BAD" w:rsidRPr="00356BAD" w:rsidRDefault="00AF2A1D" w:rsidP="00356BAD">
      <w:pPr>
        <w:pStyle w:val="aa"/>
        <w:numPr>
          <w:ilvl w:val="0"/>
          <w:numId w:val="13"/>
        </w:numPr>
        <w:tabs>
          <w:tab w:val="clear" w:pos="360"/>
          <w:tab w:val="left" w:pos="426"/>
          <w:tab w:val="num" w:pos="567"/>
        </w:tabs>
        <w:ind w:left="426" w:hanging="284"/>
        <w:jc w:val="both"/>
        <w:rPr>
          <w:rFonts w:ascii="Arial Narrow" w:hAnsi="Arial Narrow"/>
        </w:rPr>
      </w:pPr>
      <w:r w:rsidRPr="00356BAD">
        <w:rPr>
          <w:rFonts w:ascii="Arial Narrow" w:hAnsi="Arial Narrow"/>
        </w:rPr>
        <w:lastRenderedPageBreak/>
        <w:t>Σχετικά περιορισμένη είναι η χρήση της προηγούμενης ρύθμισης των</w:t>
      </w:r>
      <w:r w:rsidR="00356BAD" w:rsidRPr="00356BAD">
        <w:rPr>
          <w:rFonts w:ascii="Arial Narrow" w:hAnsi="Arial Narrow"/>
        </w:rPr>
        <w:t xml:space="preserve"> 72-100 δόσεων για οφειλές στην</w:t>
      </w:r>
    </w:p>
    <w:p w:rsidR="00512E98" w:rsidRPr="00356BAD" w:rsidRDefault="00356BAD" w:rsidP="00356BAD">
      <w:pPr>
        <w:tabs>
          <w:tab w:val="left" w:pos="426"/>
          <w:tab w:val="num" w:pos="567"/>
        </w:tabs>
        <w:ind w:left="142" w:hanging="284"/>
        <w:jc w:val="both"/>
        <w:rPr>
          <w:rFonts w:ascii="Arial Narrow" w:hAnsi="Arial Narrow"/>
        </w:rPr>
      </w:pPr>
      <w:r>
        <w:rPr>
          <w:rFonts w:ascii="Arial Narrow" w:hAnsi="Arial Narrow"/>
        </w:rPr>
        <w:tab/>
      </w:r>
      <w:r>
        <w:rPr>
          <w:rFonts w:ascii="Arial Narrow" w:hAnsi="Arial Narrow"/>
        </w:rPr>
        <w:tab/>
      </w:r>
      <w:r w:rsidR="00AF2A1D" w:rsidRPr="00356BAD">
        <w:rPr>
          <w:rFonts w:ascii="Arial Narrow" w:hAnsi="Arial Narrow"/>
        </w:rPr>
        <w:t xml:space="preserve">εφορία και τα ασφαλιστικά ταμεία, καθώς μόλις 1 στους 3 επιτηδευματίες που έχει καθυστερημένες πληρωμές </w:t>
      </w:r>
      <w:r>
        <w:rPr>
          <w:rFonts w:ascii="Arial Narrow" w:hAnsi="Arial Narrow"/>
        </w:rPr>
        <w:tab/>
      </w:r>
      <w:r w:rsidR="00AF2A1D" w:rsidRPr="00356BAD">
        <w:rPr>
          <w:rFonts w:ascii="Arial Narrow" w:hAnsi="Arial Narrow"/>
        </w:rPr>
        <w:t xml:space="preserve">έχει κάνει αίτηση υπαγωγής, ενώ 1 στους 3 σκέφτονται να κάνουν. </w:t>
      </w:r>
      <w:r w:rsidRPr="00356BAD">
        <w:rPr>
          <w:rFonts w:ascii="Arial Narrow" w:hAnsi="Arial Narrow"/>
        </w:rPr>
        <w:t xml:space="preserve">Είναι προφανές ότι η νέα ρύθμιση των </w:t>
      </w:r>
      <w:r>
        <w:rPr>
          <w:rFonts w:ascii="Arial Narrow" w:hAnsi="Arial Narrow"/>
        </w:rPr>
        <w:tab/>
      </w:r>
      <w:r w:rsidRPr="00356BAD">
        <w:rPr>
          <w:rFonts w:ascii="Arial Narrow" w:hAnsi="Arial Narrow"/>
        </w:rPr>
        <w:t xml:space="preserve">100 δόσεων για τις ληξιπρόθεσμες φορολογικές οφειλές που ψηφίστηκε πρόσφατα θα διευκολύνει σε μεγάλο </w:t>
      </w:r>
      <w:r>
        <w:rPr>
          <w:rFonts w:ascii="Arial Narrow" w:hAnsi="Arial Narrow"/>
        </w:rPr>
        <w:tab/>
      </w:r>
      <w:r w:rsidRPr="00356BAD">
        <w:rPr>
          <w:rFonts w:ascii="Arial Narrow" w:hAnsi="Arial Narrow"/>
        </w:rPr>
        <w:t xml:space="preserve">βαθμό τις επιχειρήσεις, δε συμβαίνει όμως το ίδιο για τη ρύθμιση των ασφαλιστικών οφειλών όπου το </w:t>
      </w:r>
      <w:r>
        <w:rPr>
          <w:rFonts w:ascii="Arial Narrow" w:hAnsi="Arial Narrow"/>
        </w:rPr>
        <w:tab/>
      </w:r>
      <w:r w:rsidRPr="00356BAD">
        <w:rPr>
          <w:rFonts w:ascii="Arial Narrow" w:hAnsi="Arial Narrow"/>
        </w:rPr>
        <w:t xml:space="preserve">πλαίσιο παραμένει ασφυκτικό και δεν θα επιτρέψει την ταυτόχρονη εξυπηρέτηση τρεχουσών εισφορών και </w:t>
      </w:r>
      <w:r>
        <w:rPr>
          <w:rFonts w:ascii="Arial Narrow" w:hAnsi="Arial Narrow"/>
        </w:rPr>
        <w:tab/>
      </w:r>
      <w:r w:rsidRPr="00356BAD">
        <w:rPr>
          <w:rFonts w:ascii="Arial Narrow" w:hAnsi="Arial Narrow"/>
        </w:rPr>
        <w:t>παλαιότερων χρεών.</w:t>
      </w:r>
      <w:r>
        <w:rPr>
          <w:rFonts w:ascii="Arial Narrow" w:hAnsi="Arial Narrow"/>
        </w:rPr>
        <w:t xml:space="preserve"> Παράλληλα, παραμένουν σε εκκρεμότητα η ρύθμιση των δημοτικών τελών/ φόρων και ο </w:t>
      </w:r>
      <w:r>
        <w:rPr>
          <w:rFonts w:ascii="Arial Narrow" w:hAnsi="Arial Narrow"/>
        </w:rPr>
        <w:tab/>
        <w:t xml:space="preserve">συμψηφισμός οφειλών. </w:t>
      </w:r>
      <w:r w:rsidR="00AF2A1D" w:rsidRPr="00356BAD">
        <w:rPr>
          <w:rFonts w:ascii="Arial Narrow" w:hAnsi="Arial Narrow"/>
        </w:rPr>
        <w:t xml:space="preserve"> </w:t>
      </w:r>
      <w:r w:rsidR="00AF2A1D" w:rsidRPr="00356BAD">
        <w:rPr>
          <w:rFonts w:ascii="Arial Narrow" w:hAnsi="Arial Narrow"/>
          <w:b/>
        </w:rPr>
        <w:t>Η διευθέτηση</w:t>
      </w:r>
      <w:r w:rsidR="002C58E5" w:rsidRPr="00356BAD">
        <w:rPr>
          <w:rFonts w:ascii="Arial Narrow" w:hAnsi="Arial Narrow"/>
          <w:b/>
        </w:rPr>
        <w:t xml:space="preserve"> των οφειλών</w:t>
      </w:r>
      <w:r w:rsidR="00AF2A1D" w:rsidRPr="00356BAD">
        <w:rPr>
          <w:rFonts w:ascii="Arial Narrow" w:hAnsi="Arial Narrow"/>
          <w:b/>
        </w:rPr>
        <w:t xml:space="preserve"> προς και από το δημόσιο πρέπει να αποτελέσει την </w:t>
      </w:r>
      <w:r>
        <w:rPr>
          <w:rFonts w:ascii="Arial Narrow" w:hAnsi="Arial Narrow"/>
          <w:b/>
        </w:rPr>
        <w:tab/>
      </w:r>
      <w:r w:rsidR="00AF2A1D" w:rsidRPr="00356BAD">
        <w:rPr>
          <w:rFonts w:ascii="Arial Narrow" w:hAnsi="Arial Narrow"/>
          <w:b/>
        </w:rPr>
        <w:t>βασική εγχώρια προτεραιότητα της νέας κυβέρνησης.</w:t>
      </w:r>
      <w:r w:rsidR="002C58E5" w:rsidRPr="00356BAD">
        <w:rPr>
          <w:rFonts w:ascii="Arial Narrow" w:hAnsi="Arial Narrow"/>
        </w:rPr>
        <w:t xml:space="preserve"> </w:t>
      </w:r>
    </w:p>
    <w:p w:rsidR="00AF2A1D" w:rsidRPr="00AF2A1D" w:rsidRDefault="00AF2A1D" w:rsidP="00CE7B9F">
      <w:pPr>
        <w:tabs>
          <w:tab w:val="num" w:pos="426"/>
        </w:tabs>
        <w:ind w:left="426" w:hanging="425"/>
        <w:jc w:val="both"/>
        <w:rPr>
          <w:rFonts w:ascii="Arial Narrow" w:hAnsi="Arial Narrow"/>
          <w:color w:val="FF0000"/>
        </w:rPr>
      </w:pPr>
    </w:p>
    <w:tbl>
      <w:tblPr>
        <w:tblW w:w="8836" w:type="dxa"/>
        <w:tblLayout w:type="fixed"/>
        <w:tblLook w:val="01E0" w:firstRow="1" w:lastRow="1" w:firstColumn="1" w:lastColumn="1" w:noHBand="0" w:noVBand="0"/>
      </w:tblPr>
      <w:tblGrid>
        <w:gridCol w:w="8836"/>
      </w:tblGrid>
      <w:tr w:rsidR="00512E98" w:rsidRPr="00512E98" w:rsidTr="00512E98">
        <w:trPr>
          <w:trHeight w:val="114"/>
        </w:trPr>
        <w:tc>
          <w:tcPr>
            <w:tcW w:w="8836" w:type="dxa"/>
          </w:tcPr>
          <w:p w:rsidR="00512E98" w:rsidRPr="00512E98" w:rsidRDefault="00512E98" w:rsidP="00272557">
            <w:pPr>
              <w:rPr>
                <w:rFonts w:ascii="Arial Narrow" w:hAnsi="Arial Narrow"/>
                <w:b/>
                <w:bCs/>
                <w:sz w:val="20"/>
                <w:szCs w:val="20"/>
                <w:u w:val="single"/>
              </w:rPr>
            </w:pPr>
          </w:p>
          <w:p w:rsidR="00B640C8" w:rsidRDefault="00B640C8" w:rsidP="00272557">
            <w:pPr>
              <w:rPr>
                <w:rFonts w:ascii="Arial Narrow" w:hAnsi="Arial Narrow"/>
                <w:b/>
                <w:bCs/>
                <w:sz w:val="20"/>
                <w:szCs w:val="20"/>
                <w:u w:val="single"/>
              </w:rPr>
            </w:pPr>
            <w:r w:rsidRPr="00512E98">
              <w:rPr>
                <w:rFonts w:ascii="Arial Narrow" w:hAnsi="Arial Narrow"/>
                <w:b/>
                <w:bCs/>
                <w:sz w:val="20"/>
                <w:szCs w:val="20"/>
                <w:u w:val="single"/>
              </w:rPr>
              <w:t>ΔΙΑΓΡΑΜΜΑ 7- ΚΑΘΥΣΤΕΡΗΜΕΝΕΣ ΟΦΕΙΛΕΣ</w:t>
            </w:r>
          </w:p>
          <w:p w:rsidR="00512E98" w:rsidRPr="009D01B3" w:rsidRDefault="004B5E23" w:rsidP="00512E98">
            <w:pPr>
              <w:rPr>
                <w:rFonts w:ascii="Arial Narrow" w:hAnsi="Arial Narrow"/>
                <w:b/>
                <w:bCs/>
                <w:sz w:val="20"/>
                <w:szCs w:val="20"/>
              </w:rPr>
            </w:pPr>
            <w:r>
              <w:rPr>
                <w:rFonts w:ascii="Arial Narrow" w:hAnsi="Arial Narrow"/>
                <w:b/>
                <w:bCs/>
                <w:noProof/>
                <w:color w:val="FF0000"/>
                <w:sz w:val="20"/>
                <w:szCs w:val="20"/>
              </w:rPr>
              <w:drawing>
                <wp:anchor distT="0" distB="0" distL="114300" distR="114300" simplePos="0" relativeHeight="251671040" behindDoc="0" locked="0" layoutInCell="1" allowOverlap="1" wp14:anchorId="6F47C90C" wp14:editId="2FF8D6F5">
                  <wp:simplePos x="0" y="0"/>
                  <wp:positionH relativeFrom="column">
                    <wp:posOffset>-50505</wp:posOffset>
                  </wp:positionH>
                  <wp:positionV relativeFrom="paragraph">
                    <wp:posOffset>124107</wp:posOffset>
                  </wp:positionV>
                  <wp:extent cx="6273210" cy="2286000"/>
                  <wp:effectExtent l="0" t="0" r="0" b="0"/>
                  <wp:wrapNone/>
                  <wp:docPr id="23" name="Γράφημα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512E98" w:rsidRPr="009D01B3">
              <w:rPr>
                <w:rFonts w:ascii="Arial Narrow" w:hAnsi="Arial Narrow"/>
                <w:b/>
                <w:bCs/>
                <w:sz w:val="20"/>
                <w:szCs w:val="20"/>
              </w:rPr>
              <w:t>Εσείς, κατά το τελευταίο εξάμηνο έχετε καθυστερημένες οφειλές…</w:t>
            </w:r>
          </w:p>
          <w:p w:rsidR="00512E98" w:rsidRDefault="00512E98" w:rsidP="00272557">
            <w:pPr>
              <w:rPr>
                <w:rFonts w:ascii="Arial Narrow" w:hAnsi="Arial Narrow"/>
                <w:b/>
                <w:bCs/>
                <w:sz w:val="20"/>
                <w:szCs w:val="20"/>
                <w:u w:val="single"/>
              </w:rPr>
            </w:pPr>
          </w:p>
          <w:p w:rsidR="00512E98" w:rsidRPr="00512E98" w:rsidRDefault="00512E98" w:rsidP="00272557">
            <w:pPr>
              <w:rPr>
                <w:rFonts w:ascii="Arial Narrow" w:hAnsi="Arial Narrow"/>
                <w:b/>
                <w:bCs/>
                <w:sz w:val="20"/>
                <w:szCs w:val="20"/>
                <w:u w:val="single"/>
              </w:rPr>
            </w:pPr>
          </w:p>
        </w:tc>
      </w:tr>
      <w:tr w:rsidR="00B640C8" w:rsidRPr="00AE61C4" w:rsidTr="00512E98">
        <w:trPr>
          <w:trHeight w:val="710"/>
        </w:trPr>
        <w:tc>
          <w:tcPr>
            <w:tcW w:w="8836" w:type="dxa"/>
          </w:tcPr>
          <w:p w:rsidR="00BE275B" w:rsidRPr="00AE61C4" w:rsidRDefault="00BE275B" w:rsidP="00BE275B">
            <w:pPr>
              <w:rPr>
                <w:rFonts w:ascii="Arial Narrow" w:hAnsi="Arial Narrow"/>
                <w:b/>
                <w:bCs/>
                <w:color w:val="FF0000"/>
                <w:sz w:val="20"/>
                <w:szCs w:val="20"/>
              </w:rPr>
            </w:pPr>
          </w:p>
        </w:tc>
      </w:tr>
    </w:tbl>
    <w:p w:rsidR="00512E98" w:rsidRDefault="00512E98" w:rsidP="00512E98">
      <w:pPr>
        <w:jc w:val="both"/>
        <w:rPr>
          <w:rFonts w:ascii="Arial Narrow" w:hAnsi="Arial Narrow"/>
          <w:b/>
          <w:color w:val="FF0000"/>
          <w:u w:val="single"/>
        </w:rPr>
      </w:pPr>
    </w:p>
    <w:p w:rsidR="00512E98" w:rsidRDefault="00512E98" w:rsidP="00512E98">
      <w:pPr>
        <w:jc w:val="both"/>
        <w:rPr>
          <w:rFonts w:ascii="Arial Narrow" w:hAnsi="Arial Narrow"/>
          <w:b/>
          <w:color w:val="FF0000"/>
          <w:u w:val="single"/>
        </w:rPr>
      </w:pPr>
    </w:p>
    <w:p w:rsidR="00512E98" w:rsidRDefault="00512E98" w:rsidP="00512E98">
      <w:pPr>
        <w:jc w:val="both"/>
        <w:rPr>
          <w:rFonts w:ascii="Arial Narrow" w:hAnsi="Arial Narrow"/>
          <w:b/>
          <w:color w:val="FF0000"/>
          <w:u w:val="single"/>
        </w:rPr>
      </w:pPr>
    </w:p>
    <w:p w:rsidR="00512E98" w:rsidRDefault="00512E98" w:rsidP="00512E98">
      <w:pPr>
        <w:jc w:val="both"/>
        <w:rPr>
          <w:rFonts w:ascii="Arial Narrow" w:hAnsi="Arial Narrow"/>
          <w:b/>
          <w:color w:val="FF0000"/>
          <w:u w:val="single"/>
        </w:rPr>
      </w:pPr>
    </w:p>
    <w:p w:rsidR="00512E98" w:rsidRDefault="00512E98" w:rsidP="00512E98">
      <w:pPr>
        <w:jc w:val="both"/>
        <w:rPr>
          <w:rFonts w:ascii="Arial Narrow" w:hAnsi="Arial Narrow"/>
          <w:b/>
          <w:color w:val="FF0000"/>
          <w:u w:val="single"/>
        </w:rPr>
      </w:pPr>
    </w:p>
    <w:p w:rsidR="00512E98" w:rsidRDefault="00512E98" w:rsidP="00512E98">
      <w:pPr>
        <w:jc w:val="both"/>
        <w:rPr>
          <w:rFonts w:ascii="Arial Narrow" w:hAnsi="Arial Narrow"/>
          <w:b/>
          <w:color w:val="FF0000"/>
          <w:u w:val="single"/>
        </w:rPr>
      </w:pPr>
    </w:p>
    <w:p w:rsidR="00512E98" w:rsidRDefault="00512E98" w:rsidP="00512E98">
      <w:pPr>
        <w:jc w:val="both"/>
        <w:rPr>
          <w:rFonts w:ascii="Arial Narrow" w:hAnsi="Arial Narrow"/>
          <w:b/>
          <w:color w:val="FF0000"/>
          <w:u w:val="single"/>
        </w:rPr>
      </w:pPr>
    </w:p>
    <w:p w:rsidR="00512E98" w:rsidRDefault="00512E98" w:rsidP="00512E98">
      <w:pPr>
        <w:jc w:val="both"/>
        <w:rPr>
          <w:rFonts w:ascii="Arial Narrow" w:hAnsi="Arial Narrow"/>
          <w:b/>
          <w:color w:val="FF0000"/>
          <w:u w:val="single"/>
        </w:rPr>
      </w:pPr>
    </w:p>
    <w:p w:rsidR="00512E98" w:rsidRDefault="00512E98" w:rsidP="00512E98">
      <w:pPr>
        <w:jc w:val="both"/>
        <w:rPr>
          <w:rFonts w:ascii="Arial Narrow" w:hAnsi="Arial Narrow"/>
          <w:b/>
          <w:color w:val="FF0000"/>
          <w:u w:val="single"/>
        </w:rPr>
      </w:pPr>
    </w:p>
    <w:p w:rsidR="002C58E5" w:rsidRPr="00512E98" w:rsidRDefault="00AF2A1D" w:rsidP="000366FD">
      <w:pPr>
        <w:numPr>
          <w:ilvl w:val="0"/>
          <w:numId w:val="1"/>
        </w:numPr>
        <w:tabs>
          <w:tab w:val="clear" w:pos="1080"/>
          <w:tab w:val="num" w:pos="426"/>
        </w:tabs>
        <w:ind w:hanging="1080"/>
        <w:jc w:val="both"/>
        <w:rPr>
          <w:rFonts w:ascii="Arial Narrow" w:hAnsi="Arial Narrow"/>
          <w:b/>
          <w:u w:val="single"/>
        </w:rPr>
      </w:pPr>
      <w:r>
        <w:rPr>
          <w:rFonts w:ascii="Arial Narrow" w:hAnsi="Arial Narrow"/>
          <w:b/>
          <w:u w:val="single"/>
        </w:rPr>
        <w:t xml:space="preserve">ΕΙΔΙΚΑ ΘΕΜΑΤΑ ΓΙΑ ΤΙΣ </w:t>
      </w:r>
      <w:proofErr w:type="spellStart"/>
      <w:r>
        <w:rPr>
          <w:rFonts w:ascii="Arial Narrow" w:hAnsi="Arial Narrow"/>
          <w:b/>
          <w:u w:val="single"/>
        </w:rPr>
        <w:t>ΜμΕ</w:t>
      </w:r>
      <w:proofErr w:type="spellEnd"/>
    </w:p>
    <w:p w:rsidR="00AF2A1D" w:rsidRDefault="00AF2A1D" w:rsidP="002C58E5">
      <w:pPr>
        <w:jc w:val="both"/>
        <w:rPr>
          <w:rFonts w:ascii="Arial Narrow" w:hAnsi="Arial Narrow"/>
        </w:rPr>
      </w:pPr>
    </w:p>
    <w:p w:rsidR="00CE7B9F" w:rsidRDefault="00CE7B9F" w:rsidP="002C58E5">
      <w:pPr>
        <w:jc w:val="both"/>
        <w:rPr>
          <w:rFonts w:ascii="Arial Narrow" w:hAnsi="Arial Narrow"/>
        </w:rPr>
      </w:pPr>
    </w:p>
    <w:p w:rsidR="00D66BD7" w:rsidRPr="004B5E23" w:rsidRDefault="002C58E5" w:rsidP="004B5E23">
      <w:pPr>
        <w:pStyle w:val="aa"/>
        <w:numPr>
          <w:ilvl w:val="0"/>
          <w:numId w:val="24"/>
        </w:numPr>
        <w:ind w:left="426" w:hanging="426"/>
        <w:jc w:val="both"/>
        <w:rPr>
          <w:rFonts w:ascii="Arial Narrow" w:hAnsi="Arial Narrow"/>
        </w:rPr>
      </w:pPr>
      <w:r w:rsidRPr="00CE7B9F">
        <w:rPr>
          <w:rFonts w:ascii="Arial Narrow" w:hAnsi="Arial Narrow"/>
        </w:rPr>
        <w:t xml:space="preserve">Ένα </w:t>
      </w:r>
      <w:r w:rsidR="00AB177D" w:rsidRPr="00CE7B9F">
        <w:rPr>
          <w:rFonts w:ascii="Arial Narrow" w:hAnsi="Arial Narrow"/>
        </w:rPr>
        <w:t xml:space="preserve">διαχρονικό </w:t>
      </w:r>
      <w:r w:rsidRPr="00CE7B9F">
        <w:rPr>
          <w:rFonts w:ascii="Arial Narrow" w:hAnsi="Arial Narrow"/>
        </w:rPr>
        <w:t>δομικό πρόβλημα που αντιμετωπίζουν οι επιχειρήσεις είναι η</w:t>
      </w:r>
      <w:r w:rsidR="00512E98" w:rsidRPr="00CE7B9F">
        <w:rPr>
          <w:rFonts w:ascii="Arial Narrow" w:hAnsi="Arial Narrow"/>
        </w:rPr>
        <w:t xml:space="preserve"> περιορισμένη</w:t>
      </w:r>
      <w:r w:rsidRPr="00CE7B9F">
        <w:rPr>
          <w:rFonts w:ascii="Arial Narrow" w:hAnsi="Arial Narrow"/>
        </w:rPr>
        <w:t xml:space="preserve"> πρόσ</w:t>
      </w:r>
      <w:r w:rsidR="00CE7B9F" w:rsidRPr="00CE7B9F">
        <w:rPr>
          <w:rFonts w:ascii="Arial Narrow" w:hAnsi="Arial Narrow"/>
        </w:rPr>
        <w:t xml:space="preserve">βαση στη χρηματοδότηση και σε κατάλληλα εργαλεία εξεύρεσης </w:t>
      </w:r>
      <w:r w:rsidRPr="00CE7B9F">
        <w:rPr>
          <w:rFonts w:ascii="Arial Narrow" w:hAnsi="Arial Narrow"/>
        </w:rPr>
        <w:t xml:space="preserve">πιστώσεων για την επιχειρηματική τους δραστηριότητα. Το φαινόμενα έχει αποκτήσει </w:t>
      </w:r>
      <w:r w:rsidR="00512E98" w:rsidRPr="00CE7B9F">
        <w:rPr>
          <w:rFonts w:ascii="Arial Narrow" w:hAnsi="Arial Narrow"/>
        </w:rPr>
        <w:t xml:space="preserve">ειδικά </w:t>
      </w:r>
      <w:r w:rsidRPr="00CE7B9F">
        <w:rPr>
          <w:rFonts w:ascii="Arial Narrow" w:hAnsi="Arial Narrow"/>
        </w:rPr>
        <w:t xml:space="preserve">χαρακτηριστικά στην περίπτωση της ελληνικής οικονομίας και </w:t>
      </w:r>
      <w:r w:rsidR="00512E98" w:rsidRPr="00CE7B9F">
        <w:rPr>
          <w:rFonts w:ascii="Arial Narrow" w:hAnsi="Arial Narrow"/>
        </w:rPr>
        <w:t>ιδιαίτερα όσον αφορά τ</w:t>
      </w:r>
      <w:r w:rsidR="00CE7B9F" w:rsidRPr="00CE7B9F">
        <w:rPr>
          <w:rFonts w:ascii="Arial Narrow" w:hAnsi="Arial Narrow"/>
        </w:rPr>
        <w:t xml:space="preserve">ις μικρομεσαίες επιχειρήσεις. Η ΓΣΕΒΕΕ έχει καταθέσει ολοκληρωμένη πρόταση για τη δημιουργία μιας συνεργατικής αναπτυξιακής τράπεζας που θα καλύπτει τις χρηματοδοτικές ανάγκες των μικρομεσαίων επιχειρήσεων. </w:t>
      </w:r>
    </w:p>
    <w:p w:rsidR="004B5E23" w:rsidRDefault="00CE7B9F" w:rsidP="004B5E23">
      <w:pPr>
        <w:pStyle w:val="aa"/>
        <w:ind w:left="426"/>
        <w:jc w:val="both"/>
        <w:rPr>
          <w:rFonts w:ascii="Arial Narrow" w:hAnsi="Arial Narrow"/>
        </w:rPr>
      </w:pPr>
      <w:r w:rsidRPr="00D66BD7">
        <w:rPr>
          <w:rFonts w:ascii="Arial Narrow" w:hAnsi="Arial Narrow"/>
        </w:rPr>
        <w:t xml:space="preserve">Σύμφωνα με τα στοιχεία της έρευνας του ΙΜΕ-ΓΣΕΒΕΕ, οι επιχειρήσεις φαίνεται να αξιολογούν την εν </w:t>
      </w:r>
      <w:r w:rsidR="00D66BD7" w:rsidRPr="00D66BD7">
        <w:rPr>
          <w:rFonts w:ascii="Arial Narrow" w:hAnsi="Arial Narrow"/>
        </w:rPr>
        <w:tab/>
      </w:r>
      <w:r w:rsidRPr="00D66BD7">
        <w:rPr>
          <w:rFonts w:ascii="Arial Narrow" w:hAnsi="Arial Narrow"/>
        </w:rPr>
        <w:t>λόγω πρόταση ως πολύ σημαντική. Συγκεκριμένα</w:t>
      </w:r>
      <w:r w:rsidR="00D66BD7" w:rsidRPr="00D66BD7">
        <w:rPr>
          <w:rFonts w:ascii="Arial Narrow" w:hAnsi="Arial Narrow"/>
        </w:rPr>
        <w:t>, το 73,4% των επιχειρήσεων</w:t>
      </w:r>
      <w:r w:rsidR="00D66BD7">
        <w:rPr>
          <w:rFonts w:ascii="Arial Narrow" w:hAnsi="Arial Narrow"/>
        </w:rPr>
        <w:t xml:space="preserve"> τη θεωρεί πολύ σημαντική πρωτοβουλία</w:t>
      </w:r>
      <w:r w:rsidR="004B5E23">
        <w:rPr>
          <w:rFonts w:ascii="Arial Narrow" w:hAnsi="Arial Narrow"/>
        </w:rPr>
        <w:t>. Μ</w:t>
      </w:r>
      <w:r w:rsidR="00D66BD7">
        <w:rPr>
          <w:rFonts w:ascii="Arial Narrow" w:hAnsi="Arial Narrow"/>
        </w:rPr>
        <w:t xml:space="preserve">άλιστα το 33,1% των επιχειρήσεων πιστεύει ότι πρέπει να αποτελέσει </w:t>
      </w:r>
      <w:r w:rsidR="004B5E23">
        <w:rPr>
          <w:rFonts w:ascii="Arial Narrow" w:hAnsi="Arial Narrow"/>
        </w:rPr>
        <w:t xml:space="preserve">πολιτική </w:t>
      </w:r>
      <w:r w:rsidR="00D66BD7">
        <w:rPr>
          <w:rFonts w:ascii="Arial Narrow" w:hAnsi="Arial Narrow"/>
        </w:rPr>
        <w:t>προτεραιότητα της νέας κυβέρνησης.</w:t>
      </w:r>
    </w:p>
    <w:p w:rsidR="00AB177D" w:rsidRPr="004B5E23" w:rsidRDefault="00D6031F" w:rsidP="004B5E23">
      <w:pPr>
        <w:jc w:val="both"/>
        <w:rPr>
          <w:rFonts w:ascii="Arial Narrow" w:hAnsi="Arial Narrow"/>
        </w:rPr>
      </w:pPr>
      <w:r w:rsidRPr="00D6031F">
        <w:rPr>
          <w:rFonts w:ascii="Arial Narrow" w:hAnsi="Arial Narrow"/>
        </w:rPr>
        <w:t xml:space="preserve"> </w:t>
      </w:r>
    </w:p>
    <w:p w:rsidR="006E7A6C" w:rsidRPr="006E7A6C" w:rsidRDefault="006E7A6C" w:rsidP="006E7A6C">
      <w:pPr>
        <w:rPr>
          <w:rFonts w:ascii="Arial Narrow" w:hAnsi="Arial Narrow"/>
          <w:b/>
          <w:bCs/>
          <w:sz w:val="20"/>
          <w:szCs w:val="20"/>
          <w:u w:val="single"/>
        </w:rPr>
      </w:pPr>
      <w:r>
        <w:rPr>
          <w:rFonts w:ascii="Arial Narrow" w:hAnsi="Arial Narrow"/>
          <w:b/>
          <w:bCs/>
          <w:sz w:val="20"/>
          <w:szCs w:val="20"/>
          <w:u w:val="single"/>
        </w:rPr>
        <w:t>ΔΙΑΓΡΑΜΜΑ 8</w:t>
      </w:r>
      <w:r w:rsidRPr="00512E98">
        <w:rPr>
          <w:rFonts w:ascii="Arial Narrow" w:hAnsi="Arial Narrow"/>
          <w:b/>
          <w:bCs/>
          <w:sz w:val="20"/>
          <w:szCs w:val="20"/>
          <w:u w:val="single"/>
        </w:rPr>
        <w:t xml:space="preserve">- </w:t>
      </w:r>
      <w:r w:rsidR="00D66BD7">
        <w:rPr>
          <w:rFonts w:ascii="Arial Narrow" w:hAnsi="Arial Narrow"/>
          <w:b/>
          <w:bCs/>
          <w:sz w:val="20"/>
          <w:szCs w:val="20"/>
          <w:u w:val="single"/>
        </w:rPr>
        <w:t>ΔΗΜΙΟΥΡΓΙΑ ΤΡΑΠΕΖΑΣ ΜΙΚΡΟΜΕΣΑΙΩΝ ΕΠΙΧΕΙΡΗΣΕΩΝ</w:t>
      </w:r>
    </w:p>
    <w:p w:rsidR="006E7A6C" w:rsidRPr="006E7A6C" w:rsidRDefault="00D66BD7" w:rsidP="00AB177D">
      <w:pPr>
        <w:rPr>
          <w:rFonts w:ascii="Arial Narrow" w:hAnsi="Arial Narrow"/>
          <w:b/>
          <w:bCs/>
          <w:sz w:val="20"/>
          <w:szCs w:val="20"/>
          <w:u w:val="single"/>
        </w:rPr>
      </w:pPr>
      <w:r w:rsidRPr="00D66BD7">
        <w:rPr>
          <w:rFonts w:ascii="Arial Narrow" w:hAnsi="Arial Narrow"/>
          <w:b/>
          <w:bCs/>
          <w:sz w:val="20"/>
          <w:szCs w:val="20"/>
          <w:u w:val="single"/>
        </w:rPr>
        <w:t xml:space="preserve">Η ΓΣΕΒΕΕ έχει εκφράσει ότι πρέπει να δημιουργηθεί μια τράπεζα μικρομεσαίων επιχειρήσεων για την εξυπηρέτηση των χρηματοδοτικών αναγκών των </w:t>
      </w:r>
      <w:proofErr w:type="spellStart"/>
      <w:r w:rsidRPr="00D66BD7">
        <w:rPr>
          <w:rFonts w:ascii="Arial Narrow" w:hAnsi="Arial Narrow"/>
          <w:b/>
          <w:bCs/>
          <w:sz w:val="20"/>
          <w:szCs w:val="20"/>
          <w:u w:val="single"/>
        </w:rPr>
        <w:t>ΜμΕ</w:t>
      </w:r>
      <w:proofErr w:type="spellEnd"/>
      <w:r w:rsidRPr="00D66BD7">
        <w:rPr>
          <w:rFonts w:ascii="Arial Narrow" w:hAnsi="Arial Narrow"/>
          <w:b/>
          <w:bCs/>
          <w:sz w:val="20"/>
          <w:szCs w:val="20"/>
          <w:u w:val="single"/>
        </w:rPr>
        <w:t>. Θεωρείτε ότι:</w:t>
      </w:r>
    </w:p>
    <w:p w:rsidR="006E7A6C" w:rsidRPr="006E7A6C" w:rsidRDefault="004B5E23" w:rsidP="00AB177D">
      <w:pPr>
        <w:rPr>
          <w:rFonts w:ascii="Arial Narrow" w:hAnsi="Arial Narrow"/>
          <w:b/>
          <w:bCs/>
          <w:sz w:val="20"/>
          <w:szCs w:val="20"/>
          <w:u w:val="single"/>
        </w:rPr>
      </w:pPr>
      <w:r>
        <w:rPr>
          <w:rFonts w:ascii="Arial Narrow" w:hAnsi="Arial Narrow"/>
          <w:b/>
          <w:bCs/>
          <w:noProof/>
          <w:sz w:val="20"/>
          <w:szCs w:val="20"/>
          <w:u w:val="single"/>
        </w:rPr>
        <w:drawing>
          <wp:anchor distT="0" distB="0" distL="114300" distR="114300" simplePos="0" relativeHeight="251672064" behindDoc="0" locked="0" layoutInCell="1" allowOverlap="1" wp14:anchorId="1A778F1A" wp14:editId="77B99C54">
            <wp:simplePos x="0" y="0"/>
            <wp:positionH relativeFrom="column">
              <wp:posOffset>140881</wp:posOffset>
            </wp:positionH>
            <wp:positionV relativeFrom="paragraph">
              <wp:posOffset>-2171</wp:posOffset>
            </wp:positionV>
            <wp:extent cx="4433777" cy="2413945"/>
            <wp:effectExtent l="0" t="0" r="0" b="0"/>
            <wp:wrapNone/>
            <wp:docPr id="25" name="Γράφημα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6E7A6C" w:rsidRPr="006E7A6C" w:rsidRDefault="006E7A6C" w:rsidP="00AB177D">
      <w:pPr>
        <w:rPr>
          <w:rFonts w:ascii="Arial Narrow" w:hAnsi="Arial Narrow"/>
          <w:b/>
          <w:bCs/>
          <w:sz w:val="20"/>
          <w:szCs w:val="20"/>
          <w:u w:val="single"/>
        </w:rPr>
      </w:pPr>
    </w:p>
    <w:p w:rsidR="006E7A6C" w:rsidRPr="006E7A6C" w:rsidRDefault="006E7A6C" w:rsidP="00AB177D">
      <w:pPr>
        <w:rPr>
          <w:rFonts w:ascii="Arial Narrow" w:hAnsi="Arial Narrow"/>
          <w:b/>
          <w:bCs/>
          <w:sz w:val="20"/>
          <w:szCs w:val="20"/>
          <w:u w:val="single"/>
        </w:rPr>
      </w:pPr>
    </w:p>
    <w:p w:rsidR="006E7A6C" w:rsidRPr="006E7A6C" w:rsidRDefault="006E7A6C" w:rsidP="00AB177D">
      <w:pPr>
        <w:rPr>
          <w:rFonts w:ascii="Arial Narrow" w:hAnsi="Arial Narrow"/>
          <w:b/>
          <w:bCs/>
          <w:sz w:val="20"/>
          <w:szCs w:val="20"/>
          <w:u w:val="single"/>
        </w:rPr>
      </w:pPr>
    </w:p>
    <w:p w:rsidR="006E7A6C" w:rsidRPr="006E7A6C" w:rsidRDefault="006E7A6C" w:rsidP="00AB177D">
      <w:pPr>
        <w:rPr>
          <w:rFonts w:ascii="Arial Narrow" w:hAnsi="Arial Narrow"/>
          <w:b/>
          <w:bCs/>
          <w:sz w:val="20"/>
          <w:szCs w:val="20"/>
          <w:u w:val="single"/>
        </w:rPr>
      </w:pPr>
    </w:p>
    <w:p w:rsidR="006E7A6C" w:rsidRPr="006E7A6C" w:rsidRDefault="006E7A6C" w:rsidP="00AB177D">
      <w:pPr>
        <w:rPr>
          <w:rFonts w:ascii="Arial Narrow" w:hAnsi="Arial Narrow"/>
          <w:b/>
          <w:bCs/>
          <w:sz w:val="20"/>
          <w:szCs w:val="20"/>
          <w:u w:val="single"/>
        </w:rPr>
      </w:pPr>
    </w:p>
    <w:p w:rsidR="006E7A6C" w:rsidRPr="006E7A6C" w:rsidRDefault="006E7A6C" w:rsidP="00AB177D">
      <w:pPr>
        <w:rPr>
          <w:rFonts w:ascii="Arial Narrow" w:hAnsi="Arial Narrow"/>
          <w:b/>
          <w:bCs/>
          <w:sz w:val="20"/>
          <w:szCs w:val="20"/>
          <w:u w:val="single"/>
        </w:rPr>
      </w:pPr>
    </w:p>
    <w:p w:rsidR="006E7A6C" w:rsidRPr="006E7A6C" w:rsidRDefault="006E7A6C" w:rsidP="00AB177D">
      <w:pPr>
        <w:rPr>
          <w:rFonts w:ascii="Arial Narrow" w:hAnsi="Arial Narrow"/>
          <w:b/>
          <w:bCs/>
          <w:sz w:val="20"/>
          <w:szCs w:val="20"/>
          <w:u w:val="single"/>
        </w:rPr>
      </w:pPr>
    </w:p>
    <w:p w:rsidR="006E7A6C" w:rsidRPr="006E7A6C" w:rsidRDefault="006E7A6C" w:rsidP="00AB177D">
      <w:pPr>
        <w:rPr>
          <w:rFonts w:ascii="Arial Narrow" w:hAnsi="Arial Narrow"/>
          <w:b/>
          <w:bCs/>
          <w:sz w:val="20"/>
          <w:szCs w:val="20"/>
          <w:u w:val="single"/>
        </w:rPr>
      </w:pPr>
    </w:p>
    <w:p w:rsidR="006E7A6C" w:rsidRPr="006E7A6C" w:rsidRDefault="006E7A6C" w:rsidP="00AB177D">
      <w:pPr>
        <w:rPr>
          <w:rFonts w:ascii="Arial Narrow" w:hAnsi="Arial Narrow"/>
          <w:b/>
          <w:bCs/>
          <w:sz w:val="20"/>
          <w:szCs w:val="20"/>
          <w:u w:val="single"/>
        </w:rPr>
      </w:pPr>
    </w:p>
    <w:p w:rsidR="006E7A6C" w:rsidRDefault="006E7A6C" w:rsidP="00AB177D">
      <w:pPr>
        <w:rPr>
          <w:rFonts w:ascii="Arial Narrow" w:hAnsi="Arial Narrow"/>
          <w:b/>
          <w:bCs/>
          <w:sz w:val="20"/>
          <w:szCs w:val="20"/>
          <w:u w:val="single"/>
        </w:rPr>
      </w:pPr>
    </w:p>
    <w:p w:rsidR="00522D5D" w:rsidRDefault="00522D5D" w:rsidP="004B5E23">
      <w:pPr>
        <w:jc w:val="both"/>
        <w:rPr>
          <w:rFonts w:ascii="Arial Narrow" w:hAnsi="Arial Narrow"/>
          <w:b/>
          <w:color w:val="FF0000"/>
          <w:u w:val="single"/>
        </w:rPr>
      </w:pPr>
    </w:p>
    <w:p w:rsidR="00522D5D" w:rsidRPr="004B5E23" w:rsidRDefault="004B5E23" w:rsidP="00512E98">
      <w:pPr>
        <w:pStyle w:val="aa"/>
        <w:numPr>
          <w:ilvl w:val="0"/>
          <w:numId w:val="24"/>
        </w:numPr>
        <w:ind w:left="360"/>
        <w:jc w:val="both"/>
        <w:rPr>
          <w:rFonts w:ascii="Arial Narrow" w:hAnsi="Arial Narrow"/>
          <w:b/>
          <w:u w:val="single"/>
        </w:rPr>
      </w:pPr>
      <w:r w:rsidRPr="004B5E23">
        <w:rPr>
          <w:rFonts w:ascii="Arial Narrow" w:hAnsi="Arial Narrow"/>
        </w:rPr>
        <w:lastRenderedPageBreak/>
        <w:t xml:space="preserve">Για ακόμη μια χρονιά, τα αποτελέσματα από το άνοιγμα των καταστημάτων τις Κυριακές, ήταν πενιχρά και απογοητευτικά, παρά τη σχετική σταθεροποίηση της αγοράς. Σύμφωνα με τα ευρήματα της έρευνας του ΙΜΕ-ΓΣΕΒΕΕ, μόλις το 4% των επιχειρήσεων σημείωσε αύξηση του κύκλου εργασιών συνεπεία της κυριακάτικης λειτουργίας. 7 στις 10 επιχειρήσεις είναι επί της αρχής αντίθετες στο άνοιγμα των καταστημάτων την ημέρα της Κυριακής. Είναι σαφές ότι η βελτίωση των όρων λειτουργίας της αγοράς περνά μέσα από την ομαλοποίηση της κοινωνικής ζωής, τη βελτίωση της ποιότητας ζωής στον αστικό ιστό και τις οργανωμένες παρεμβάσεις στο ιστορικό κέντρο των πόλεων. </w:t>
      </w:r>
      <w:r>
        <w:rPr>
          <w:rFonts w:ascii="Arial Narrow" w:hAnsi="Arial Narrow"/>
        </w:rPr>
        <w:t xml:space="preserve">Οι αποσπασματικές παρεμβάσεις που μεταβάλλουν απροσανατόλιστα </w:t>
      </w:r>
      <w:r w:rsidR="00490F37">
        <w:rPr>
          <w:rFonts w:ascii="Arial Narrow" w:hAnsi="Arial Narrow"/>
        </w:rPr>
        <w:t>το οικονομικό περιβάλλον δε βοηθούν την επιχειρηματική δραστηριότητα.</w:t>
      </w:r>
    </w:p>
    <w:p w:rsidR="00522D5D" w:rsidRDefault="00522D5D" w:rsidP="00512E98">
      <w:pPr>
        <w:ind w:left="360"/>
        <w:jc w:val="both"/>
        <w:rPr>
          <w:rFonts w:ascii="Arial Narrow" w:hAnsi="Arial Narrow"/>
          <w:b/>
          <w:color w:val="FF0000"/>
          <w:u w:val="single"/>
        </w:rPr>
      </w:pPr>
    </w:p>
    <w:p w:rsidR="00522D5D" w:rsidRDefault="00522D5D" w:rsidP="00512E98">
      <w:pPr>
        <w:ind w:left="360"/>
        <w:jc w:val="both"/>
        <w:rPr>
          <w:rFonts w:ascii="Arial Narrow" w:hAnsi="Arial Narrow"/>
          <w:b/>
          <w:color w:val="FF0000"/>
          <w:u w:val="single"/>
        </w:rPr>
      </w:pPr>
    </w:p>
    <w:p w:rsidR="004B5E23" w:rsidRDefault="004B5E23" w:rsidP="004B5E23">
      <w:pPr>
        <w:rPr>
          <w:rFonts w:ascii="Arial Narrow" w:hAnsi="Arial Narrow"/>
          <w:b/>
          <w:bCs/>
          <w:sz w:val="20"/>
          <w:szCs w:val="20"/>
          <w:u w:val="single"/>
        </w:rPr>
      </w:pPr>
      <w:r>
        <w:rPr>
          <w:rFonts w:ascii="Arial Narrow" w:hAnsi="Arial Narrow"/>
          <w:b/>
          <w:bCs/>
          <w:sz w:val="20"/>
          <w:szCs w:val="20"/>
          <w:u w:val="single"/>
        </w:rPr>
        <w:t xml:space="preserve">ΔΙΑΓΡΑΜΜΑ </w:t>
      </w:r>
      <w:r w:rsidRPr="00C840BF">
        <w:rPr>
          <w:rFonts w:ascii="Arial Narrow" w:hAnsi="Arial Narrow"/>
          <w:b/>
          <w:bCs/>
          <w:sz w:val="20"/>
          <w:szCs w:val="20"/>
          <w:u w:val="single"/>
        </w:rPr>
        <w:t>9</w:t>
      </w:r>
      <w:r w:rsidRPr="00512E98">
        <w:rPr>
          <w:rFonts w:ascii="Arial Narrow" w:hAnsi="Arial Narrow"/>
          <w:b/>
          <w:bCs/>
          <w:sz w:val="20"/>
          <w:szCs w:val="20"/>
          <w:u w:val="single"/>
        </w:rPr>
        <w:t xml:space="preserve">- </w:t>
      </w:r>
      <w:r>
        <w:rPr>
          <w:rFonts w:ascii="Arial Narrow" w:hAnsi="Arial Narrow"/>
          <w:b/>
          <w:bCs/>
          <w:sz w:val="20"/>
          <w:szCs w:val="20"/>
          <w:u w:val="single"/>
        </w:rPr>
        <w:t>ΛΕΙΤΟΥΡΓΙΑ ΤΗΣ ΑΓΟΡΑΣ</w:t>
      </w:r>
    </w:p>
    <w:p w:rsidR="004B5E23" w:rsidRPr="00F679C3" w:rsidRDefault="004B5E23" w:rsidP="004B5E23">
      <w:pPr>
        <w:rPr>
          <w:rFonts w:ascii="Arial Narrow" w:hAnsi="Arial Narrow"/>
          <w:b/>
          <w:bCs/>
          <w:sz w:val="20"/>
          <w:szCs w:val="20"/>
        </w:rPr>
      </w:pPr>
      <w:r w:rsidRPr="004B5E23">
        <w:rPr>
          <w:rFonts w:ascii="Arial Narrow" w:hAnsi="Arial Narrow"/>
          <w:b/>
          <w:bCs/>
          <w:sz w:val="20"/>
          <w:szCs w:val="20"/>
        </w:rPr>
        <w:t>Το άνοιγμα των καταστημάτων κατά τη διάρκεια των τεσσάρων Κυριακών (μες στο χειμώνα) έχει συμβάλει στην αύξηση του τζίρου σας ή όχι;</w:t>
      </w:r>
    </w:p>
    <w:p w:rsidR="00522D5D" w:rsidRDefault="004B5E23" w:rsidP="00512E98">
      <w:pPr>
        <w:ind w:left="360"/>
        <w:jc w:val="both"/>
        <w:rPr>
          <w:rFonts w:ascii="Arial Narrow" w:hAnsi="Arial Narrow"/>
          <w:b/>
          <w:color w:val="FF0000"/>
          <w:u w:val="single"/>
        </w:rPr>
      </w:pPr>
      <w:r>
        <w:rPr>
          <w:rFonts w:ascii="Arial Narrow" w:hAnsi="Arial Narrow"/>
          <w:b/>
          <w:noProof/>
          <w:color w:val="FF0000"/>
          <w:u w:val="single"/>
        </w:rPr>
        <w:drawing>
          <wp:anchor distT="0" distB="0" distL="114300" distR="114300" simplePos="0" relativeHeight="251673088" behindDoc="0" locked="0" layoutInCell="1" allowOverlap="1" wp14:anchorId="167DC5CF" wp14:editId="721A658C">
            <wp:simplePos x="0" y="0"/>
            <wp:positionH relativeFrom="column">
              <wp:posOffset>-61137</wp:posOffset>
            </wp:positionH>
            <wp:positionV relativeFrom="paragraph">
              <wp:posOffset>31853</wp:posOffset>
            </wp:positionV>
            <wp:extent cx="4890977" cy="2147777"/>
            <wp:effectExtent l="0" t="0" r="0" b="0"/>
            <wp:wrapNone/>
            <wp:docPr id="26" name="Γράφημα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522D5D" w:rsidRDefault="00522D5D" w:rsidP="00512E98">
      <w:pPr>
        <w:ind w:left="360"/>
        <w:jc w:val="both"/>
        <w:rPr>
          <w:rFonts w:ascii="Arial Narrow" w:hAnsi="Arial Narrow"/>
          <w:b/>
          <w:color w:val="FF0000"/>
          <w:u w:val="single"/>
        </w:rPr>
      </w:pPr>
    </w:p>
    <w:p w:rsidR="00522D5D" w:rsidRDefault="00522D5D" w:rsidP="00512E98">
      <w:pPr>
        <w:ind w:left="360"/>
        <w:jc w:val="both"/>
        <w:rPr>
          <w:rFonts w:ascii="Arial Narrow" w:hAnsi="Arial Narrow"/>
          <w:b/>
          <w:color w:val="FF0000"/>
          <w:u w:val="single"/>
        </w:rPr>
      </w:pPr>
    </w:p>
    <w:p w:rsidR="00522D5D" w:rsidRDefault="00522D5D" w:rsidP="00512E98">
      <w:pPr>
        <w:ind w:left="360"/>
        <w:jc w:val="both"/>
        <w:rPr>
          <w:rFonts w:ascii="Arial Narrow" w:hAnsi="Arial Narrow"/>
          <w:b/>
          <w:color w:val="FF0000"/>
          <w:u w:val="single"/>
        </w:rPr>
      </w:pPr>
    </w:p>
    <w:p w:rsidR="00522D5D" w:rsidRDefault="00522D5D" w:rsidP="00512E98">
      <w:pPr>
        <w:ind w:left="360"/>
        <w:jc w:val="both"/>
        <w:rPr>
          <w:rFonts w:ascii="Arial Narrow" w:hAnsi="Arial Narrow"/>
          <w:b/>
          <w:color w:val="FF0000"/>
          <w:u w:val="single"/>
        </w:rPr>
      </w:pPr>
    </w:p>
    <w:p w:rsidR="00522D5D" w:rsidRDefault="00522D5D" w:rsidP="00512E98">
      <w:pPr>
        <w:ind w:left="360"/>
        <w:jc w:val="both"/>
        <w:rPr>
          <w:rFonts w:ascii="Arial Narrow" w:hAnsi="Arial Narrow"/>
          <w:b/>
          <w:color w:val="FF0000"/>
          <w:u w:val="single"/>
        </w:rPr>
      </w:pPr>
    </w:p>
    <w:p w:rsidR="00522D5D" w:rsidRDefault="00522D5D" w:rsidP="00512E98">
      <w:pPr>
        <w:ind w:left="360"/>
        <w:jc w:val="both"/>
        <w:rPr>
          <w:rFonts w:ascii="Arial Narrow" w:hAnsi="Arial Narrow"/>
          <w:b/>
          <w:color w:val="FF0000"/>
          <w:u w:val="single"/>
        </w:rPr>
      </w:pPr>
    </w:p>
    <w:p w:rsidR="00522D5D" w:rsidRDefault="00522D5D" w:rsidP="00512E98">
      <w:pPr>
        <w:ind w:left="360"/>
        <w:jc w:val="both"/>
        <w:rPr>
          <w:rFonts w:ascii="Arial Narrow" w:hAnsi="Arial Narrow"/>
          <w:b/>
          <w:color w:val="FF0000"/>
          <w:u w:val="single"/>
        </w:rPr>
      </w:pPr>
    </w:p>
    <w:p w:rsidR="00522D5D" w:rsidRDefault="00522D5D" w:rsidP="00512E98">
      <w:pPr>
        <w:ind w:left="360"/>
        <w:jc w:val="both"/>
        <w:rPr>
          <w:rFonts w:ascii="Arial Narrow" w:hAnsi="Arial Narrow"/>
          <w:b/>
          <w:color w:val="FF0000"/>
          <w:u w:val="single"/>
        </w:rPr>
      </w:pPr>
    </w:p>
    <w:p w:rsidR="00522D5D" w:rsidRDefault="00522D5D" w:rsidP="00512E98">
      <w:pPr>
        <w:ind w:left="360"/>
        <w:jc w:val="both"/>
        <w:rPr>
          <w:rFonts w:ascii="Arial Narrow" w:hAnsi="Arial Narrow"/>
          <w:b/>
          <w:color w:val="FF0000"/>
          <w:u w:val="single"/>
        </w:rPr>
      </w:pPr>
    </w:p>
    <w:p w:rsidR="00522D5D" w:rsidRDefault="00522D5D" w:rsidP="00512E98">
      <w:pPr>
        <w:ind w:left="360"/>
        <w:jc w:val="both"/>
        <w:rPr>
          <w:rFonts w:ascii="Arial Narrow" w:hAnsi="Arial Narrow"/>
          <w:b/>
          <w:color w:val="FF0000"/>
          <w:u w:val="single"/>
        </w:rPr>
      </w:pPr>
    </w:p>
    <w:p w:rsidR="00F679C3" w:rsidRDefault="00F679C3" w:rsidP="00306781">
      <w:pPr>
        <w:jc w:val="both"/>
        <w:rPr>
          <w:rFonts w:ascii="Arial Narrow" w:hAnsi="Arial Narrow"/>
          <w:b/>
          <w:color w:val="FF0000"/>
          <w:u w:val="single"/>
        </w:rPr>
      </w:pPr>
    </w:p>
    <w:p w:rsidR="0010736E" w:rsidRPr="000366FD" w:rsidRDefault="00D6031F" w:rsidP="0010736E">
      <w:pPr>
        <w:numPr>
          <w:ilvl w:val="0"/>
          <w:numId w:val="1"/>
        </w:numPr>
        <w:tabs>
          <w:tab w:val="clear" w:pos="1080"/>
          <w:tab w:val="num" w:pos="360"/>
        </w:tabs>
        <w:ind w:left="360"/>
        <w:jc w:val="both"/>
        <w:rPr>
          <w:rFonts w:ascii="Arial Narrow" w:hAnsi="Arial Narrow"/>
          <w:b/>
          <w:u w:val="single"/>
        </w:rPr>
      </w:pPr>
      <w:r>
        <w:rPr>
          <w:rFonts w:ascii="Arial Narrow" w:hAnsi="Arial Narrow"/>
          <w:b/>
          <w:u w:val="single"/>
        </w:rPr>
        <w:t>ΠΟΛΙΤΙΚΗ ΚΑΤΑΣΤΑΣΗ</w:t>
      </w:r>
    </w:p>
    <w:p w:rsidR="0010736E" w:rsidRPr="00AE61C4" w:rsidRDefault="0010736E" w:rsidP="0010736E">
      <w:pPr>
        <w:ind w:left="360"/>
        <w:jc w:val="both"/>
        <w:rPr>
          <w:rFonts w:ascii="Arial Narrow" w:hAnsi="Arial Narrow"/>
          <w:b/>
          <w:color w:val="FF0000"/>
          <w:u w:val="single"/>
        </w:rPr>
      </w:pPr>
    </w:p>
    <w:p w:rsidR="005A474C" w:rsidRDefault="005A474C" w:rsidP="005A474C">
      <w:pPr>
        <w:pStyle w:val="aa"/>
        <w:numPr>
          <w:ilvl w:val="0"/>
          <w:numId w:val="24"/>
        </w:numPr>
        <w:ind w:left="426" w:hanging="426"/>
        <w:jc w:val="both"/>
        <w:rPr>
          <w:rFonts w:ascii="Arial Narrow" w:hAnsi="Arial Narrow"/>
        </w:rPr>
      </w:pPr>
      <w:r w:rsidRPr="005A474C">
        <w:rPr>
          <w:rFonts w:ascii="Arial Narrow" w:hAnsi="Arial Narrow"/>
        </w:rPr>
        <w:t xml:space="preserve">Αναφορικά με την αποτύπωση του πολιτικού κλίματος, η νέα κυβέρνηση φαίνεται να χαίρει της εμπιστοσύνης των μικρών επιχειρήσεων (το 44,1% είναι περισσότερο αισιόδοξοι για την πορεία της επιχείρησης). Το παραπάνω συναρτάται ασφαλώς με τη δυνατότητα της κυβέρνησης να κάνει παρεμβάσεις στο εσωτερικό που θα οδηγήσουν σε αναπτυξιακή τροχιά και στο διεθνές περιβάλλον </w:t>
      </w:r>
      <w:r w:rsidR="00EE55A5">
        <w:rPr>
          <w:rFonts w:ascii="Arial Narrow" w:hAnsi="Arial Narrow"/>
        </w:rPr>
        <w:t>σε κινήσεις που θα καταλήξουν σε έναν παραγωγικό</w:t>
      </w:r>
      <w:r w:rsidRPr="005A474C">
        <w:rPr>
          <w:rFonts w:ascii="Arial Narrow" w:hAnsi="Arial Narrow"/>
        </w:rPr>
        <w:t xml:space="preserve"> «έντιμο συμβιβασμό» με τους εταίρους. Το 57,3% άλλωστε θεωρεί ότι αυτή θα πρέπει να είναι η διαπραγματευτική τακτική της κυβέρνησης.</w:t>
      </w:r>
    </w:p>
    <w:p w:rsidR="005A474C" w:rsidRPr="005A474C" w:rsidRDefault="005A474C" w:rsidP="005A474C">
      <w:pPr>
        <w:pStyle w:val="aa"/>
        <w:numPr>
          <w:ilvl w:val="0"/>
          <w:numId w:val="24"/>
        </w:numPr>
        <w:ind w:left="426" w:hanging="426"/>
        <w:jc w:val="both"/>
        <w:rPr>
          <w:rFonts w:ascii="Arial Narrow" w:hAnsi="Arial Narrow"/>
        </w:rPr>
      </w:pPr>
      <w:r w:rsidRPr="005A474C">
        <w:rPr>
          <w:rFonts w:ascii="Arial Narrow" w:hAnsi="Arial Narrow"/>
        </w:rPr>
        <w:t>Από τα σημαντικότερα και πιο επείγοντα προβλήματα που καλείται να λύσει άμεσα η νέα κυβέρνηση είναι η μείωση της υψηλής φορολογίας, η ρύθμιση των ασφαλιστικών και φορολογικών οφειλών, καθώς και η διαχείριση της πολιτικής πιστώσεων (αναχρηματοδότηση- ρύθμιση παλαιών δανείων, πρόσβαση σε ρευστότητα).</w:t>
      </w:r>
    </w:p>
    <w:p w:rsidR="00512E98" w:rsidRDefault="00512E98" w:rsidP="004A78E5">
      <w:pPr>
        <w:jc w:val="both"/>
        <w:rPr>
          <w:rFonts w:ascii="Arial Narrow" w:hAnsi="Arial Narrow" w:cs="Tahoma"/>
          <w:color w:val="FF0000"/>
        </w:rPr>
      </w:pPr>
    </w:p>
    <w:p w:rsidR="000366FD" w:rsidRPr="00512E98" w:rsidRDefault="000366FD" w:rsidP="000366FD">
      <w:pPr>
        <w:rPr>
          <w:rFonts w:ascii="Arial Narrow" w:hAnsi="Arial Narrow"/>
          <w:b/>
          <w:bCs/>
          <w:sz w:val="20"/>
          <w:szCs w:val="20"/>
          <w:u w:val="single"/>
        </w:rPr>
      </w:pPr>
    </w:p>
    <w:p w:rsidR="000366FD" w:rsidRDefault="00522D5D" w:rsidP="000366FD">
      <w:pPr>
        <w:rPr>
          <w:rFonts w:ascii="Arial Narrow" w:hAnsi="Arial Narrow"/>
          <w:b/>
          <w:bCs/>
          <w:sz w:val="20"/>
          <w:szCs w:val="20"/>
          <w:u w:val="single"/>
        </w:rPr>
      </w:pPr>
      <w:r>
        <w:rPr>
          <w:rFonts w:ascii="Arial Narrow" w:hAnsi="Arial Narrow"/>
          <w:b/>
          <w:bCs/>
          <w:sz w:val="20"/>
          <w:szCs w:val="20"/>
          <w:u w:val="single"/>
        </w:rPr>
        <w:t xml:space="preserve">ΔΙΑΓΡΑΜΜΑ </w:t>
      </w:r>
      <w:r w:rsidR="006E7A6C" w:rsidRPr="00C840BF">
        <w:rPr>
          <w:rFonts w:ascii="Arial Narrow" w:hAnsi="Arial Narrow"/>
          <w:b/>
          <w:bCs/>
          <w:sz w:val="20"/>
          <w:szCs w:val="20"/>
          <w:u w:val="single"/>
        </w:rPr>
        <w:t>10</w:t>
      </w:r>
      <w:r w:rsidR="000366FD" w:rsidRPr="00512E98">
        <w:rPr>
          <w:rFonts w:ascii="Arial Narrow" w:hAnsi="Arial Narrow"/>
          <w:b/>
          <w:bCs/>
          <w:sz w:val="20"/>
          <w:szCs w:val="20"/>
          <w:u w:val="single"/>
        </w:rPr>
        <w:t xml:space="preserve">- </w:t>
      </w:r>
      <w:r w:rsidR="005A474C">
        <w:rPr>
          <w:rFonts w:ascii="Arial Narrow" w:hAnsi="Arial Narrow"/>
          <w:b/>
          <w:bCs/>
          <w:sz w:val="20"/>
          <w:szCs w:val="20"/>
          <w:u w:val="single"/>
        </w:rPr>
        <w:t>ΠΡΟΤΕΡΑΙΟΤΗΤΕΣ ΟΙΚΟΝΟΜΙΚΗΣ ΠΟΛΙΤΙΚΗΣ</w:t>
      </w:r>
    </w:p>
    <w:p w:rsidR="000366FD" w:rsidRDefault="005A474C" w:rsidP="004A78E5">
      <w:pPr>
        <w:jc w:val="both"/>
        <w:rPr>
          <w:rFonts w:ascii="Arial Narrow" w:hAnsi="Arial Narrow"/>
          <w:color w:val="FF0000"/>
        </w:rPr>
      </w:pPr>
      <w:r>
        <w:rPr>
          <w:rFonts w:ascii="Arial Narrow" w:hAnsi="Arial Narrow"/>
          <w:noProof/>
        </w:rPr>
        <w:drawing>
          <wp:anchor distT="0" distB="0" distL="114300" distR="114300" simplePos="0" relativeHeight="251674112" behindDoc="0" locked="0" layoutInCell="1" allowOverlap="1" wp14:anchorId="367D3661" wp14:editId="7C9C080B">
            <wp:simplePos x="0" y="0"/>
            <wp:positionH relativeFrom="column">
              <wp:posOffset>-135255</wp:posOffset>
            </wp:positionH>
            <wp:positionV relativeFrom="paragraph">
              <wp:posOffset>247650</wp:posOffset>
            </wp:positionV>
            <wp:extent cx="6209030" cy="2327910"/>
            <wp:effectExtent l="0" t="0" r="0" b="0"/>
            <wp:wrapNone/>
            <wp:docPr id="29" name="Γράφημα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5A474C">
        <w:rPr>
          <w:rFonts w:ascii="Arial Narrow" w:hAnsi="Arial Narrow"/>
          <w:b/>
          <w:bCs/>
          <w:sz w:val="20"/>
          <w:szCs w:val="20"/>
        </w:rPr>
        <w:t>Ποιο θεωρείτε το πιο επείγον και σημαντικό μέτρο  προτεραιότητα που πρέπει να λάβει η νέα κυβέρνηση σχετικά με τις μικρές επιχειρήσεις ;</w:t>
      </w:r>
    </w:p>
    <w:p w:rsidR="000366FD" w:rsidRPr="00306781" w:rsidRDefault="00306781" w:rsidP="004A78E5">
      <w:pPr>
        <w:jc w:val="both"/>
        <w:rPr>
          <w:rFonts w:ascii="Arial Narrow" w:hAnsi="Arial Narrow"/>
        </w:rPr>
      </w:pPr>
      <w:r>
        <w:rPr>
          <w:rFonts w:ascii="Arial Narrow" w:hAnsi="Arial Narrow"/>
        </w:rPr>
        <w:tab/>
      </w:r>
      <w:r w:rsidR="00562F02">
        <w:rPr>
          <w:rFonts w:ascii="Arial Narrow" w:hAnsi="Arial Narrow"/>
        </w:rPr>
        <w:tab/>
      </w:r>
      <w:r w:rsidR="00562F02">
        <w:rPr>
          <w:rFonts w:ascii="Arial Narrow" w:hAnsi="Arial Narrow"/>
        </w:rPr>
        <w:tab/>
      </w:r>
      <w:r w:rsidR="00562F02">
        <w:rPr>
          <w:rFonts w:ascii="Arial Narrow" w:hAnsi="Arial Narrow"/>
        </w:rPr>
        <w:tab/>
      </w:r>
      <w:r w:rsidR="00562F02">
        <w:rPr>
          <w:rFonts w:ascii="Arial Narrow" w:hAnsi="Arial Narrow"/>
        </w:rPr>
        <w:tab/>
      </w:r>
      <w:r w:rsidR="00562F02">
        <w:rPr>
          <w:rFonts w:ascii="Arial Narrow" w:hAnsi="Arial Narrow"/>
        </w:rPr>
        <w:tab/>
      </w:r>
      <w:r w:rsidR="00562F02">
        <w:rPr>
          <w:rFonts w:ascii="Arial Narrow" w:hAnsi="Arial Narrow"/>
        </w:rPr>
        <w:tab/>
      </w:r>
      <w:r w:rsidR="00562F02">
        <w:rPr>
          <w:rFonts w:ascii="Arial Narrow" w:hAnsi="Arial Narrow"/>
        </w:rPr>
        <w:tab/>
      </w:r>
      <w:r w:rsidR="00562F02">
        <w:rPr>
          <w:rFonts w:ascii="Arial Narrow" w:hAnsi="Arial Narrow"/>
        </w:rPr>
        <w:tab/>
      </w:r>
      <w:r w:rsidR="00562F02">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0366FD" w:rsidRDefault="000366FD" w:rsidP="004A78E5">
      <w:pPr>
        <w:jc w:val="both"/>
        <w:rPr>
          <w:rFonts w:ascii="Arial Narrow" w:hAnsi="Arial Narrow"/>
          <w:color w:val="FF0000"/>
        </w:rPr>
      </w:pPr>
    </w:p>
    <w:p w:rsidR="000366FD" w:rsidRDefault="000366FD" w:rsidP="004A78E5">
      <w:pPr>
        <w:jc w:val="both"/>
        <w:rPr>
          <w:rFonts w:ascii="Arial Narrow" w:hAnsi="Arial Narrow"/>
          <w:color w:val="FF0000"/>
        </w:rPr>
      </w:pPr>
    </w:p>
    <w:p w:rsidR="000366FD" w:rsidRDefault="000366FD" w:rsidP="004A78E5">
      <w:pPr>
        <w:jc w:val="both"/>
        <w:rPr>
          <w:rFonts w:ascii="Arial Narrow" w:hAnsi="Arial Narrow"/>
          <w:color w:val="FF0000"/>
        </w:rPr>
      </w:pPr>
    </w:p>
    <w:p w:rsidR="000366FD" w:rsidRDefault="000366FD" w:rsidP="004A78E5">
      <w:pPr>
        <w:jc w:val="both"/>
        <w:rPr>
          <w:rFonts w:ascii="Arial Narrow" w:hAnsi="Arial Narrow"/>
          <w:color w:val="FF0000"/>
        </w:rPr>
      </w:pPr>
    </w:p>
    <w:p w:rsidR="000366FD" w:rsidRDefault="000366FD" w:rsidP="004A78E5">
      <w:pPr>
        <w:jc w:val="both"/>
        <w:rPr>
          <w:rFonts w:ascii="Arial Narrow" w:hAnsi="Arial Narrow"/>
          <w:color w:val="FF0000"/>
        </w:rPr>
      </w:pPr>
    </w:p>
    <w:p w:rsidR="000366FD" w:rsidRDefault="000366FD" w:rsidP="004A78E5">
      <w:pPr>
        <w:jc w:val="both"/>
        <w:rPr>
          <w:rFonts w:ascii="Arial Narrow" w:hAnsi="Arial Narrow"/>
          <w:color w:val="FF0000"/>
        </w:rPr>
      </w:pPr>
    </w:p>
    <w:p w:rsidR="000366FD" w:rsidRDefault="000366FD" w:rsidP="004A78E5">
      <w:pPr>
        <w:jc w:val="both"/>
        <w:rPr>
          <w:rFonts w:ascii="Arial Narrow" w:hAnsi="Arial Narrow"/>
          <w:color w:val="FF0000"/>
        </w:rPr>
      </w:pPr>
    </w:p>
    <w:p w:rsidR="00E740B6" w:rsidRDefault="00E740B6" w:rsidP="00EE01FE">
      <w:pPr>
        <w:jc w:val="both"/>
        <w:rPr>
          <w:rFonts w:ascii="Arial Narrow" w:hAnsi="Arial Narrow"/>
          <w:color w:val="FF0000"/>
        </w:rPr>
      </w:pPr>
    </w:p>
    <w:p w:rsidR="00B640C8" w:rsidRPr="00CD2E23" w:rsidRDefault="00306781" w:rsidP="00350FAB">
      <w:pPr>
        <w:rPr>
          <w:rFonts w:ascii="Arial Narrow" w:hAnsi="Arial Narrow" w:cs="Tahoma"/>
        </w:rPr>
      </w:pPr>
      <w:r>
        <w:rPr>
          <w:rFonts w:ascii="Arial Narrow" w:hAnsi="Arial Narrow"/>
          <w:u w:val="single"/>
        </w:rPr>
        <w:br w:type="page"/>
      </w:r>
      <w:r w:rsidR="00B640C8" w:rsidRPr="00EE01FE">
        <w:rPr>
          <w:rFonts w:ascii="Arial Narrow" w:hAnsi="Arial Narrow"/>
          <w:u w:val="single"/>
        </w:rPr>
        <w:lastRenderedPageBreak/>
        <w:t>ΠΑΡΑΡΤΗΜΑ: ΣΥΓΚΡΙΣΗ ΠΑΡΟΥΣΑΣ ΕΡΕΥΝΑΣ (</w:t>
      </w:r>
      <w:r w:rsidR="004B04BD">
        <w:rPr>
          <w:rFonts w:ascii="Arial Narrow" w:hAnsi="Arial Narrow"/>
          <w:u w:val="single"/>
        </w:rPr>
        <w:t>Φεβρουάριος 2015</w:t>
      </w:r>
      <w:r w:rsidR="00B640C8" w:rsidRPr="00EE01FE">
        <w:rPr>
          <w:rFonts w:ascii="Arial Narrow" w:hAnsi="Arial Narrow"/>
          <w:u w:val="single"/>
        </w:rPr>
        <w:t>) ΜΕ ΠΡΟΗΓΟΥΜΕΝΕΣ ΕΡΕΥΝΕΣ</w:t>
      </w:r>
    </w:p>
    <w:p w:rsidR="00B640C8" w:rsidRDefault="00B640C8" w:rsidP="00E54F10">
      <w:pPr>
        <w:jc w:val="both"/>
        <w:rPr>
          <w:rFonts w:ascii="Arial Narrow" w:hAnsi="Arial Narrow"/>
          <w:b/>
          <w:sz w:val="20"/>
          <w:szCs w:val="20"/>
        </w:rPr>
      </w:pPr>
    </w:p>
    <w:p w:rsidR="00B640C8" w:rsidRPr="008F2928" w:rsidRDefault="00B640C8" w:rsidP="007E2E20">
      <w:pPr>
        <w:jc w:val="center"/>
        <w:rPr>
          <w:rFonts w:ascii="Arial Narrow" w:hAnsi="Arial Narrow"/>
          <w:b/>
          <w:sz w:val="20"/>
          <w:szCs w:val="20"/>
        </w:rPr>
      </w:pPr>
      <w:r w:rsidRPr="008F2928">
        <w:rPr>
          <w:rFonts w:ascii="Arial Narrow" w:hAnsi="Arial Narrow"/>
          <w:b/>
          <w:sz w:val="20"/>
          <w:szCs w:val="20"/>
        </w:rPr>
        <w:t>Τα παρακάτω νούμερα αναφέρονται σε ποσοστά επί του συνόλου των ερωτηθέντων επιχειρηματιών</w:t>
      </w:r>
    </w:p>
    <w:p w:rsidR="00B640C8" w:rsidRDefault="00B640C8" w:rsidP="00E54F10">
      <w:pPr>
        <w:jc w:val="center"/>
        <w:rPr>
          <w:rFonts w:ascii="Arial Narrow" w:hAnsi="Arial Narrow"/>
          <w:b/>
          <w:sz w:val="20"/>
          <w:szCs w:val="20"/>
          <w:u w:val="single"/>
        </w:rPr>
      </w:pPr>
    </w:p>
    <w:p w:rsidR="00562674" w:rsidRPr="00315382" w:rsidRDefault="00B640C8" w:rsidP="00315382">
      <w:pPr>
        <w:jc w:val="center"/>
        <w:rPr>
          <w:rFonts w:ascii="Arial Narrow" w:hAnsi="Arial Narrow"/>
          <w:b/>
          <w:sz w:val="20"/>
          <w:szCs w:val="20"/>
          <w:u w:val="single"/>
        </w:rPr>
      </w:pPr>
      <w:r>
        <w:rPr>
          <w:rFonts w:ascii="Arial Narrow" w:hAnsi="Arial Narrow"/>
          <w:b/>
          <w:sz w:val="20"/>
          <w:szCs w:val="20"/>
          <w:u w:val="single"/>
        </w:rPr>
        <w:t>ΔΙΑΓΡΑΜΜΑ</w:t>
      </w:r>
    </w:p>
    <w:p w:rsidR="000366FD" w:rsidRDefault="000366FD" w:rsidP="00E54F10">
      <w:pPr>
        <w:jc w:val="both"/>
        <w:rPr>
          <w:rFonts w:ascii="Arial Narrow" w:hAnsi="Arial Narrow"/>
          <w:b/>
          <w:bCs/>
          <w:sz w:val="20"/>
          <w:szCs w:val="20"/>
          <w:u w:val="single"/>
        </w:rPr>
      </w:pPr>
    </w:p>
    <w:p w:rsidR="000366FD" w:rsidRDefault="00761BDB" w:rsidP="00E54F10">
      <w:pPr>
        <w:jc w:val="both"/>
        <w:rPr>
          <w:rFonts w:ascii="Arial Narrow" w:hAnsi="Arial Narrow"/>
          <w:b/>
          <w:bCs/>
          <w:sz w:val="20"/>
          <w:szCs w:val="20"/>
          <w:u w:val="single"/>
        </w:rPr>
      </w:pPr>
      <w:r>
        <w:rPr>
          <w:rFonts w:ascii="Arial Narrow" w:hAnsi="Arial Narrow"/>
          <w:b/>
          <w:bCs/>
          <w:noProof/>
          <w:sz w:val="20"/>
          <w:szCs w:val="20"/>
          <w:u w:val="single"/>
        </w:rPr>
        <w:drawing>
          <wp:inline distT="0" distB="0" distL="0" distR="0" wp14:anchorId="7CF25D3E">
            <wp:extent cx="6760169" cy="3681080"/>
            <wp:effectExtent l="0" t="0" r="3175"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45970" cy="3673348"/>
                    </a:xfrm>
                    <a:prstGeom prst="rect">
                      <a:avLst/>
                    </a:prstGeom>
                    <a:noFill/>
                    <a:ln>
                      <a:noFill/>
                    </a:ln>
                    <a:effectLst/>
                  </pic:spPr>
                </pic:pic>
              </a:graphicData>
            </a:graphic>
          </wp:inline>
        </w:drawing>
      </w:r>
    </w:p>
    <w:p w:rsidR="000366FD" w:rsidRDefault="00761BDB" w:rsidP="00E54F10">
      <w:pPr>
        <w:jc w:val="both"/>
        <w:rPr>
          <w:rFonts w:ascii="Arial Narrow" w:hAnsi="Arial Narrow"/>
          <w:b/>
          <w:bCs/>
          <w:sz w:val="20"/>
          <w:szCs w:val="20"/>
          <w:u w:val="single"/>
        </w:rPr>
      </w:pPr>
      <w:r>
        <w:rPr>
          <w:rFonts w:ascii="Arial Narrow" w:hAnsi="Arial Narrow"/>
          <w:b/>
          <w:bCs/>
          <w:noProof/>
          <w:sz w:val="20"/>
          <w:szCs w:val="20"/>
          <w:u w:val="single"/>
        </w:rPr>
        <w:drawing>
          <wp:inline distT="0" distB="0" distL="0" distR="0" wp14:anchorId="0E73CE6B" wp14:editId="0BC2A322">
            <wp:extent cx="6762307" cy="3557344"/>
            <wp:effectExtent l="0" t="0" r="635" b="5080"/>
            <wp:docPr id="97" name="Εικόνα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58445" cy="3555313"/>
                    </a:xfrm>
                    <a:prstGeom prst="rect">
                      <a:avLst/>
                    </a:prstGeom>
                    <a:noFill/>
                    <a:ln>
                      <a:noFill/>
                    </a:ln>
                    <a:effectLst/>
                  </pic:spPr>
                </pic:pic>
              </a:graphicData>
            </a:graphic>
          </wp:inline>
        </w:drawing>
      </w:r>
    </w:p>
    <w:p w:rsidR="00315382" w:rsidRDefault="00315382" w:rsidP="00E54F10">
      <w:pPr>
        <w:jc w:val="both"/>
        <w:rPr>
          <w:rFonts w:ascii="Arial Narrow" w:hAnsi="Arial Narrow"/>
          <w:b/>
          <w:bCs/>
          <w:sz w:val="20"/>
          <w:szCs w:val="20"/>
          <w:u w:val="single"/>
        </w:rPr>
      </w:pPr>
    </w:p>
    <w:p w:rsidR="00B640C8" w:rsidRDefault="00B640C8" w:rsidP="00E54F10">
      <w:pPr>
        <w:jc w:val="both"/>
        <w:rPr>
          <w:rFonts w:ascii="Arial Narrow" w:hAnsi="Arial Narrow"/>
          <w:b/>
          <w:bCs/>
          <w:sz w:val="20"/>
          <w:szCs w:val="20"/>
          <w:u w:val="single"/>
        </w:rPr>
      </w:pPr>
    </w:p>
    <w:p w:rsidR="00B640C8" w:rsidRPr="008F2928" w:rsidRDefault="00B640C8" w:rsidP="00E54F10">
      <w:pPr>
        <w:jc w:val="both"/>
        <w:rPr>
          <w:rFonts w:ascii="Arial Narrow" w:hAnsi="Arial Narrow"/>
          <w:b/>
          <w:bCs/>
          <w:sz w:val="20"/>
          <w:szCs w:val="20"/>
          <w:u w:val="single"/>
        </w:rPr>
      </w:pPr>
      <w:r w:rsidRPr="008F2928">
        <w:rPr>
          <w:rFonts w:ascii="Arial Narrow" w:hAnsi="Arial Narrow"/>
          <w:b/>
          <w:bCs/>
          <w:sz w:val="20"/>
          <w:szCs w:val="20"/>
          <w:u w:val="single"/>
        </w:rPr>
        <w:t>* Καταγεγραμμένη μείωση προηγούμενου εξαμήνου</w:t>
      </w:r>
    </w:p>
    <w:p w:rsidR="00B640C8" w:rsidRPr="006D4935" w:rsidRDefault="00B640C8" w:rsidP="008A52EA">
      <w:pPr>
        <w:jc w:val="both"/>
        <w:rPr>
          <w:rFonts w:ascii="Arial Narrow" w:hAnsi="Arial Narrow"/>
          <w:sz w:val="20"/>
          <w:szCs w:val="20"/>
          <w:u w:val="single"/>
        </w:rPr>
      </w:pPr>
      <w:r w:rsidRPr="008F2928">
        <w:rPr>
          <w:rFonts w:ascii="Arial Narrow" w:hAnsi="Arial Narrow"/>
          <w:b/>
          <w:bCs/>
          <w:sz w:val="20"/>
          <w:szCs w:val="20"/>
          <w:u w:val="single"/>
        </w:rPr>
        <w:t>** Προβλεπόμενη μείωση για το επόμενο εξάμηνο</w:t>
      </w:r>
    </w:p>
    <w:sectPr w:rsidR="00B640C8" w:rsidRPr="006D4935" w:rsidSect="00227F1D">
      <w:footerReference w:type="even" r:id="rId25"/>
      <w:footerReference w:type="default" r:id="rId26"/>
      <w:pgSz w:w="11906" w:h="16838"/>
      <w:pgMar w:top="1079" w:right="926" w:bottom="1079" w:left="900" w:header="708" w:footer="93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36" w:rsidRDefault="00C00536">
      <w:r>
        <w:separator/>
      </w:r>
    </w:p>
  </w:endnote>
  <w:endnote w:type="continuationSeparator" w:id="0">
    <w:p w:rsidR="00C00536" w:rsidRDefault="00C0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Baskerville">
    <w:altName w:val="Courier New"/>
    <w:panose1 w:val="00000000000000000000"/>
    <w:charset w:val="00"/>
    <w:family w:val="auto"/>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36" w:rsidRDefault="00C00536" w:rsidP="006C6D36">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00536" w:rsidRDefault="00C00536" w:rsidP="000978F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36" w:rsidRDefault="00C00536" w:rsidP="006C6D36">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642E5">
      <w:rPr>
        <w:rStyle w:val="a9"/>
        <w:noProof/>
      </w:rPr>
      <w:t>11</w:t>
    </w:r>
    <w:r>
      <w:rPr>
        <w:rStyle w:val="a9"/>
      </w:rPr>
      <w:fldChar w:fldCharType="end"/>
    </w:r>
  </w:p>
  <w:p w:rsidR="00C00536" w:rsidRDefault="00C00536" w:rsidP="0084174B">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536" w:rsidRDefault="00C00536">
      <w:r>
        <w:separator/>
      </w:r>
    </w:p>
  </w:footnote>
  <w:footnote w:type="continuationSeparator" w:id="0">
    <w:p w:rsidR="00C00536" w:rsidRDefault="00C00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3E05"/>
    <w:multiLevelType w:val="hybridMultilevel"/>
    <w:tmpl w:val="6096B9CE"/>
    <w:lvl w:ilvl="0" w:tplc="7834083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0B23A4"/>
    <w:multiLevelType w:val="hybridMultilevel"/>
    <w:tmpl w:val="27869F5A"/>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7A675A9"/>
    <w:multiLevelType w:val="hybridMultilevel"/>
    <w:tmpl w:val="34308790"/>
    <w:lvl w:ilvl="0" w:tplc="0408000B">
      <w:start w:val="1"/>
      <w:numFmt w:val="bullet"/>
      <w:lvlText w:val=""/>
      <w:lvlJc w:val="left"/>
      <w:pPr>
        <w:tabs>
          <w:tab w:val="num" w:pos="360"/>
        </w:tabs>
        <w:ind w:left="360" w:hanging="360"/>
      </w:pPr>
      <w:rPr>
        <w:rFonts w:ascii="Wingdings" w:hAnsi="Wingdings" w:hint="default"/>
      </w:rPr>
    </w:lvl>
    <w:lvl w:ilvl="1" w:tplc="0408000B">
      <w:start w:val="1"/>
      <w:numFmt w:val="bullet"/>
      <w:lvlText w:val=""/>
      <w:lvlJc w:val="left"/>
      <w:pPr>
        <w:tabs>
          <w:tab w:val="num" w:pos="1080"/>
        </w:tabs>
        <w:ind w:left="1080" w:hanging="360"/>
      </w:pPr>
      <w:rPr>
        <w:rFonts w:ascii="Wingdings" w:hAnsi="Wingding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nsid w:val="27301F86"/>
    <w:multiLevelType w:val="hybridMultilevel"/>
    <w:tmpl w:val="35B00D48"/>
    <w:lvl w:ilvl="0" w:tplc="0408001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4">
    <w:nsid w:val="307D6535"/>
    <w:multiLevelType w:val="hybridMultilevel"/>
    <w:tmpl w:val="9886FAA0"/>
    <w:lvl w:ilvl="0" w:tplc="7834083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2C3216B"/>
    <w:multiLevelType w:val="hybridMultilevel"/>
    <w:tmpl w:val="7B561FF6"/>
    <w:lvl w:ilvl="0" w:tplc="0408000B">
      <w:start w:val="1"/>
      <w:numFmt w:val="bullet"/>
      <w:lvlText w:val=""/>
      <w:lvlJc w:val="left"/>
      <w:pPr>
        <w:tabs>
          <w:tab w:val="num" w:pos="360"/>
        </w:tabs>
        <w:ind w:left="360" w:hanging="360"/>
      </w:pPr>
      <w:rPr>
        <w:rFonts w:ascii="Wingdings" w:hAnsi="Wingdings" w:hint="default"/>
      </w:rPr>
    </w:lvl>
    <w:lvl w:ilvl="1" w:tplc="0408000B">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nsid w:val="36EF2663"/>
    <w:multiLevelType w:val="hybridMultilevel"/>
    <w:tmpl w:val="B53C6E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B211C5E"/>
    <w:multiLevelType w:val="hybridMultilevel"/>
    <w:tmpl w:val="F2506EAC"/>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40356B87"/>
    <w:multiLevelType w:val="hybridMultilevel"/>
    <w:tmpl w:val="F6EA26E0"/>
    <w:lvl w:ilvl="0" w:tplc="0408001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9">
    <w:nsid w:val="40566F50"/>
    <w:multiLevelType w:val="hybridMultilevel"/>
    <w:tmpl w:val="9886FAA0"/>
    <w:lvl w:ilvl="0" w:tplc="7834083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13A1F44"/>
    <w:multiLevelType w:val="hybridMultilevel"/>
    <w:tmpl w:val="06FAE2CC"/>
    <w:lvl w:ilvl="0" w:tplc="68D2CF1A">
      <w:start w:val="1"/>
      <w:numFmt w:val="bullet"/>
      <w:lvlText w:val=""/>
      <w:lvlJc w:val="left"/>
      <w:pPr>
        <w:tabs>
          <w:tab w:val="num" w:pos="540"/>
        </w:tabs>
        <w:ind w:left="540" w:hanging="360"/>
      </w:pPr>
      <w:rPr>
        <w:rFonts w:ascii="Wingdings" w:hAnsi="Wingdings" w:hint="default"/>
        <w:color w:val="auto"/>
      </w:rPr>
    </w:lvl>
    <w:lvl w:ilvl="1" w:tplc="0408000B">
      <w:start w:val="1"/>
      <w:numFmt w:val="bullet"/>
      <w:lvlText w:val=""/>
      <w:lvlJc w:val="left"/>
      <w:pPr>
        <w:tabs>
          <w:tab w:val="num" w:pos="1080"/>
        </w:tabs>
        <w:ind w:left="1080" w:hanging="360"/>
      </w:pPr>
      <w:rPr>
        <w:rFonts w:ascii="Wingdings" w:hAnsi="Wingding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49050A00"/>
    <w:multiLevelType w:val="hybridMultilevel"/>
    <w:tmpl w:val="9FAABAEA"/>
    <w:lvl w:ilvl="0" w:tplc="2D64BAE0">
      <w:start w:val="1"/>
      <w:numFmt w:val="decimal"/>
      <w:lvlText w:val="%1)"/>
      <w:lvlJc w:val="left"/>
      <w:pPr>
        <w:ind w:left="360" w:hanging="360"/>
      </w:pPr>
      <w:rPr>
        <w:rFonts w:cs="Times New Roman" w:hint="default"/>
        <w:b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2">
    <w:nsid w:val="493E15DF"/>
    <w:multiLevelType w:val="hybridMultilevel"/>
    <w:tmpl w:val="955696B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A914EA7"/>
    <w:multiLevelType w:val="hybridMultilevel"/>
    <w:tmpl w:val="5BDA0D08"/>
    <w:lvl w:ilvl="0" w:tplc="7834083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7D13E02"/>
    <w:multiLevelType w:val="hybridMultilevel"/>
    <w:tmpl w:val="0BC272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40313B8"/>
    <w:multiLevelType w:val="hybridMultilevel"/>
    <w:tmpl w:val="B8E6CC10"/>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678C257C"/>
    <w:multiLevelType w:val="hybridMultilevel"/>
    <w:tmpl w:val="D7F2FEB0"/>
    <w:lvl w:ilvl="0" w:tplc="6D886460">
      <w:start w:val="1"/>
      <w:numFmt w:val="decimal"/>
      <w:lvlText w:val="%1)"/>
      <w:lvlJc w:val="left"/>
      <w:pPr>
        <w:ind w:left="1146" w:hanging="360"/>
      </w:pPr>
      <w:rPr>
        <w:rFonts w:cs="Times New Roman" w:hint="default"/>
        <w:b w:val="0"/>
        <w:color w:val="auto"/>
      </w:rPr>
    </w:lvl>
    <w:lvl w:ilvl="1" w:tplc="04080019" w:tentative="1">
      <w:start w:val="1"/>
      <w:numFmt w:val="lowerLetter"/>
      <w:lvlText w:val="%2."/>
      <w:lvlJc w:val="left"/>
      <w:pPr>
        <w:ind w:left="1866" w:hanging="360"/>
      </w:pPr>
      <w:rPr>
        <w:rFonts w:cs="Times New Roman"/>
      </w:rPr>
    </w:lvl>
    <w:lvl w:ilvl="2" w:tplc="0408001B" w:tentative="1">
      <w:start w:val="1"/>
      <w:numFmt w:val="lowerRoman"/>
      <w:lvlText w:val="%3."/>
      <w:lvlJc w:val="right"/>
      <w:pPr>
        <w:ind w:left="2586" w:hanging="180"/>
      </w:pPr>
      <w:rPr>
        <w:rFonts w:cs="Times New Roman"/>
      </w:rPr>
    </w:lvl>
    <w:lvl w:ilvl="3" w:tplc="0408000F" w:tentative="1">
      <w:start w:val="1"/>
      <w:numFmt w:val="decimal"/>
      <w:lvlText w:val="%4."/>
      <w:lvlJc w:val="left"/>
      <w:pPr>
        <w:ind w:left="3306" w:hanging="360"/>
      </w:pPr>
      <w:rPr>
        <w:rFonts w:cs="Times New Roman"/>
      </w:rPr>
    </w:lvl>
    <w:lvl w:ilvl="4" w:tplc="04080019" w:tentative="1">
      <w:start w:val="1"/>
      <w:numFmt w:val="lowerLetter"/>
      <w:lvlText w:val="%5."/>
      <w:lvlJc w:val="left"/>
      <w:pPr>
        <w:ind w:left="4026" w:hanging="360"/>
      </w:pPr>
      <w:rPr>
        <w:rFonts w:cs="Times New Roman"/>
      </w:rPr>
    </w:lvl>
    <w:lvl w:ilvl="5" w:tplc="0408001B" w:tentative="1">
      <w:start w:val="1"/>
      <w:numFmt w:val="lowerRoman"/>
      <w:lvlText w:val="%6."/>
      <w:lvlJc w:val="right"/>
      <w:pPr>
        <w:ind w:left="4746" w:hanging="180"/>
      </w:pPr>
      <w:rPr>
        <w:rFonts w:cs="Times New Roman"/>
      </w:rPr>
    </w:lvl>
    <w:lvl w:ilvl="6" w:tplc="0408000F" w:tentative="1">
      <w:start w:val="1"/>
      <w:numFmt w:val="decimal"/>
      <w:lvlText w:val="%7."/>
      <w:lvlJc w:val="left"/>
      <w:pPr>
        <w:ind w:left="5466" w:hanging="360"/>
      </w:pPr>
      <w:rPr>
        <w:rFonts w:cs="Times New Roman"/>
      </w:rPr>
    </w:lvl>
    <w:lvl w:ilvl="7" w:tplc="04080019" w:tentative="1">
      <w:start w:val="1"/>
      <w:numFmt w:val="lowerLetter"/>
      <w:lvlText w:val="%8."/>
      <w:lvlJc w:val="left"/>
      <w:pPr>
        <w:ind w:left="6186" w:hanging="360"/>
      </w:pPr>
      <w:rPr>
        <w:rFonts w:cs="Times New Roman"/>
      </w:rPr>
    </w:lvl>
    <w:lvl w:ilvl="8" w:tplc="0408001B" w:tentative="1">
      <w:start w:val="1"/>
      <w:numFmt w:val="lowerRoman"/>
      <w:lvlText w:val="%9."/>
      <w:lvlJc w:val="right"/>
      <w:pPr>
        <w:ind w:left="6906" w:hanging="180"/>
      </w:pPr>
      <w:rPr>
        <w:rFonts w:cs="Times New Roman"/>
      </w:rPr>
    </w:lvl>
  </w:abstractNum>
  <w:abstractNum w:abstractNumId="17">
    <w:nsid w:val="7036099D"/>
    <w:multiLevelType w:val="hybridMultilevel"/>
    <w:tmpl w:val="FD146CE4"/>
    <w:lvl w:ilvl="0" w:tplc="78340834">
      <w:start w:val="1"/>
      <w:numFmt w:val="decimal"/>
      <w:lvlText w:val="%1)"/>
      <w:lvlJc w:val="left"/>
      <w:pPr>
        <w:ind w:left="720" w:hanging="360"/>
      </w:pPr>
      <w:rPr>
        <w:rFonts w:cs="Times New Roman"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55F154D"/>
    <w:multiLevelType w:val="hybridMultilevel"/>
    <w:tmpl w:val="27EE5052"/>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76365806"/>
    <w:multiLevelType w:val="hybridMultilevel"/>
    <w:tmpl w:val="6D9C83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9144DDC"/>
    <w:multiLevelType w:val="hybridMultilevel"/>
    <w:tmpl w:val="E6B2DAF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C3C6213"/>
    <w:multiLevelType w:val="hybridMultilevel"/>
    <w:tmpl w:val="9B5CA47E"/>
    <w:lvl w:ilvl="0" w:tplc="78340834">
      <w:start w:val="1"/>
      <w:numFmt w:val="decimal"/>
      <w:lvlText w:val="%1)"/>
      <w:lvlJc w:val="left"/>
      <w:pPr>
        <w:ind w:left="720" w:hanging="360"/>
      </w:pPr>
      <w:rPr>
        <w:rFonts w:cs="Times New Roman"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D01662B"/>
    <w:multiLevelType w:val="hybridMultilevel"/>
    <w:tmpl w:val="61CA0636"/>
    <w:lvl w:ilvl="0" w:tplc="04080001">
      <w:start w:val="1"/>
      <w:numFmt w:val="bullet"/>
      <w:lvlText w:val=""/>
      <w:lvlJc w:val="left"/>
      <w:pPr>
        <w:tabs>
          <w:tab w:val="num" w:pos="1080"/>
        </w:tabs>
        <w:ind w:left="1080" w:hanging="360"/>
      </w:pPr>
      <w:rPr>
        <w:rFonts w:ascii="Symbol" w:hAnsi="Symbol" w:hint="default"/>
      </w:rPr>
    </w:lvl>
    <w:lvl w:ilvl="1" w:tplc="0408000B">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3">
    <w:nsid w:val="7FD012C4"/>
    <w:multiLevelType w:val="hybridMultilevel"/>
    <w:tmpl w:val="3224DD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10"/>
  </w:num>
  <w:num w:numId="5">
    <w:abstractNumId w:val="2"/>
  </w:num>
  <w:num w:numId="6">
    <w:abstractNumId w:val="1"/>
  </w:num>
  <w:num w:numId="7">
    <w:abstractNumId w:val="15"/>
  </w:num>
  <w:num w:numId="8">
    <w:abstractNumId w:val="16"/>
  </w:num>
  <w:num w:numId="9">
    <w:abstractNumId w:val="3"/>
  </w:num>
  <w:num w:numId="10">
    <w:abstractNumId w:val="8"/>
  </w:num>
  <w:num w:numId="11">
    <w:abstractNumId w:val="11"/>
  </w:num>
  <w:num w:numId="12">
    <w:abstractNumId w:val="18"/>
  </w:num>
  <w:num w:numId="13">
    <w:abstractNumId w:val="5"/>
  </w:num>
  <w:num w:numId="14">
    <w:abstractNumId w:val="21"/>
  </w:num>
  <w:num w:numId="15">
    <w:abstractNumId w:val="0"/>
  </w:num>
  <w:num w:numId="16">
    <w:abstractNumId w:val="4"/>
  </w:num>
  <w:num w:numId="17">
    <w:abstractNumId w:val="9"/>
  </w:num>
  <w:num w:numId="18">
    <w:abstractNumId w:val="14"/>
  </w:num>
  <w:num w:numId="19">
    <w:abstractNumId w:val="17"/>
  </w:num>
  <w:num w:numId="20">
    <w:abstractNumId w:val="13"/>
  </w:num>
  <w:num w:numId="21">
    <w:abstractNumId w:val="19"/>
  </w:num>
  <w:num w:numId="22">
    <w:abstractNumId w:val="23"/>
  </w:num>
  <w:num w:numId="23">
    <w:abstractNumId w:val="6"/>
  </w:num>
  <w:num w:numId="2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8D"/>
    <w:rsid w:val="000028B2"/>
    <w:rsid w:val="0000624B"/>
    <w:rsid w:val="00006AB2"/>
    <w:rsid w:val="00010586"/>
    <w:rsid w:val="000133A2"/>
    <w:rsid w:val="00015C0F"/>
    <w:rsid w:val="00016D49"/>
    <w:rsid w:val="0002595C"/>
    <w:rsid w:val="0002622D"/>
    <w:rsid w:val="00026AEF"/>
    <w:rsid w:val="00027A45"/>
    <w:rsid w:val="0003277D"/>
    <w:rsid w:val="000344FF"/>
    <w:rsid w:val="000366FD"/>
    <w:rsid w:val="0004128C"/>
    <w:rsid w:val="00041E30"/>
    <w:rsid w:val="00041FC2"/>
    <w:rsid w:val="00045C12"/>
    <w:rsid w:val="000464B4"/>
    <w:rsid w:val="00050F18"/>
    <w:rsid w:val="0006150A"/>
    <w:rsid w:val="0006286F"/>
    <w:rsid w:val="000633CE"/>
    <w:rsid w:val="00067D51"/>
    <w:rsid w:val="00071760"/>
    <w:rsid w:val="00081E7B"/>
    <w:rsid w:val="00085BCD"/>
    <w:rsid w:val="00090D65"/>
    <w:rsid w:val="00092934"/>
    <w:rsid w:val="00093261"/>
    <w:rsid w:val="00094A3C"/>
    <w:rsid w:val="000978F2"/>
    <w:rsid w:val="000A0C23"/>
    <w:rsid w:val="000A1062"/>
    <w:rsid w:val="000A1F1D"/>
    <w:rsid w:val="000A2862"/>
    <w:rsid w:val="000A45BE"/>
    <w:rsid w:val="000B3446"/>
    <w:rsid w:val="000B3841"/>
    <w:rsid w:val="000B6F7C"/>
    <w:rsid w:val="000C0A3E"/>
    <w:rsid w:val="000C1D06"/>
    <w:rsid w:val="000C2268"/>
    <w:rsid w:val="000C53E1"/>
    <w:rsid w:val="000C540E"/>
    <w:rsid w:val="000D2D16"/>
    <w:rsid w:val="000D4421"/>
    <w:rsid w:val="000D7950"/>
    <w:rsid w:val="000E036B"/>
    <w:rsid w:val="000E1AFE"/>
    <w:rsid w:val="000E3E1F"/>
    <w:rsid w:val="000E725F"/>
    <w:rsid w:val="000F39D8"/>
    <w:rsid w:val="00101A3D"/>
    <w:rsid w:val="00101F74"/>
    <w:rsid w:val="00102507"/>
    <w:rsid w:val="001044AC"/>
    <w:rsid w:val="0010587B"/>
    <w:rsid w:val="001069C1"/>
    <w:rsid w:val="0010736E"/>
    <w:rsid w:val="0010746D"/>
    <w:rsid w:val="00113096"/>
    <w:rsid w:val="001159EF"/>
    <w:rsid w:val="00117D70"/>
    <w:rsid w:val="0012553E"/>
    <w:rsid w:val="00126404"/>
    <w:rsid w:val="00127847"/>
    <w:rsid w:val="001300BF"/>
    <w:rsid w:val="00131057"/>
    <w:rsid w:val="00133C31"/>
    <w:rsid w:val="0013454A"/>
    <w:rsid w:val="00134AD8"/>
    <w:rsid w:val="00135961"/>
    <w:rsid w:val="0014529E"/>
    <w:rsid w:val="0014559A"/>
    <w:rsid w:val="001526BA"/>
    <w:rsid w:val="00156B2E"/>
    <w:rsid w:val="00166912"/>
    <w:rsid w:val="0017088F"/>
    <w:rsid w:val="001752C3"/>
    <w:rsid w:val="0017764F"/>
    <w:rsid w:val="0018399E"/>
    <w:rsid w:val="00185BE6"/>
    <w:rsid w:val="00187BC3"/>
    <w:rsid w:val="0019436D"/>
    <w:rsid w:val="001A1009"/>
    <w:rsid w:val="001A2145"/>
    <w:rsid w:val="001A3D44"/>
    <w:rsid w:val="001A6A68"/>
    <w:rsid w:val="001A7964"/>
    <w:rsid w:val="001A7E14"/>
    <w:rsid w:val="001B086B"/>
    <w:rsid w:val="001B2699"/>
    <w:rsid w:val="001B61E2"/>
    <w:rsid w:val="001C1F76"/>
    <w:rsid w:val="001C558F"/>
    <w:rsid w:val="001D23D9"/>
    <w:rsid w:val="001E3CB8"/>
    <w:rsid w:val="001E488A"/>
    <w:rsid w:val="001E68EF"/>
    <w:rsid w:val="001F1EB2"/>
    <w:rsid w:val="001F2723"/>
    <w:rsid w:val="002026DD"/>
    <w:rsid w:val="00202B7E"/>
    <w:rsid w:val="00202EA2"/>
    <w:rsid w:val="002035A7"/>
    <w:rsid w:val="00204386"/>
    <w:rsid w:val="00204539"/>
    <w:rsid w:val="0020647A"/>
    <w:rsid w:val="00207196"/>
    <w:rsid w:val="00210E9B"/>
    <w:rsid w:val="00215F2E"/>
    <w:rsid w:val="00221083"/>
    <w:rsid w:val="00222915"/>
    <w:rsid w:val="00222C4F"/>
    <w:rsid w:val="002245A9"/>
    <w:rsid w:val="00226356"/>
    <w:rsid w:val="00227F1D"/>
    <w:rsid w:val="00232E82"/>
    <w:rsid w:val="002353A3"/>
    <w:rsid w:val="002440E9"/>
    <w:rsid w:val="00247662"/>
    <w:rsid w:val="00250B7B"/>
    <w:rsid w:val="00252E0F"/>
    <w:rsid w:val="00255BB2"/>
    <w:rsid w:val="002573FA"/>
    <w:rsid w:val="00262D92"/>
    <w:rsid w:val="00263268"/>
    <w:rsid w:val="00265EE5"/>
    <w:rsid w:val="00267149"/>
    <w:rsid w:val="002717DD"/>
    <w:rsid w:val="00272557"/>
    <w:rsid w:val="00274E71"/>
    <w:rsid w:val="002767A5"/>
    <w:rsid w:val="00277072"/>
    <w:rsid w:val="00281DF6"/>
    <w:rsid w:val="0028391F"/>
    <w:rsid w:val="00285E11"/>
    <w:rsid w:val="002861F2"/>
    <w:rsid w:val="002A2C26"/>
    <w:rsid w:val="002A6344"/>
    <w:rsid w:val="002A702B"/>
    <w:rsid w:val="002A73E7"/>
    <w:rsid w:val="002B79BF"/>
    <w:rsid w:val="002C14D4"/>
    <w:rsid w:val="002C58E5"/>
    <w:rsid w:val="002C5FB3"/>
    <w:rsid w:val="002E1EE9"/>
    <w:rsid w:val="002E26BB"/>
    <w:rsid w:val="002E38F0"/>
    <w:rsid w:val="002E6890"/>
    <w:rsid w:val="002F30BB"/>
    <w:rsid w:val="002F5084"/>
    <w:rsid w:val="002F5ACD"/>
    <w:rsid w:val="00300A49"/>
    <w:rsid w:val="00303124"/>
    <w:rsid w:val="00306781"/>
    <w:rsid w:val="00307B7A"/>
    <w:rsid w:val="0031478A"/>
    <w:rsid w:val="00315382"/>
    <w:rsid w:val="0031721D"/>
    <w:rsid w:val="003340C0"/>
    <w:rsid w:val="00335CC8"/>
    <w:rsid w:val="00345561"/>
    <w:rsid w:val="00345893"/>
    <w:rsid w:val="00350676"/>
    <w:rsid w:val="00350E7D"/>
    <w:rsid w:val="00350FAB"/>
    <w:rsid w:val="003535A6"/>
    <w:rsid w:val="00356BAD"/>
    <w:rsid w:val="00357FBA"/>
    <w:rsid w:val="003603F1"/>
    <w:rsid w:val="003638B1"/>
    <w:rsid w:val="0036421C"/>
    <w:rsid w:val="003677EE"/>
    <w:rsid w:val="00367F99"/>
    <w:rsid w:val="00377740"/>
    <w:rsid w:val="0038134A"/>
    <w:rsid w:val="003827E5"/>
    <w:rsid w:val="00384B3C"/>
    <w:rsid w:val="00385B55"/>
    <w:rsid w:val="00390908"/>
    <w:rsid w:val="00392595"/>
    <w:rsid w:val="0039288D"/>
    <w:rsid w:val="00393D68"/>
    <w:rsid w:val="003A074C"/>
    <w:rsid w:val="003A180D"/>
    <w:rsid w:val="003A3D53"/>
    <w:rsid w:val="003A7663"/>
    <w:rsid w:val="003A7C32"/>
    <w:rsid w:val="003B0CF3"/>
    <w:rsid w:val="003B27EB"/>
    <w:rsid w:val="003B4B65"/>
    <w:rsid w:val="003B6F54"/>
    <w:rsid w:val="003C0948"/>
    <w:rsid w:val="003C1DA8"/>
    <w:rsid w:val="003C5CFD"/>
    <w:rsid w:val="003C76F2"/>
    <w:rsid w:val="003C7D4F"/>
    <w:rsid w:val="003D0DE0"/>
    <w:rsid w:val="003D2AA0"/>
    <w:rsid w:val="003D2D09"/>
    <w:rsid w:val="003D7DFB"/>
    <w:rsid w:val="003E2927"/>
    <w:rsid w:val="003E3A07"/>
    <w:rsid w:val="003F10CA"/>
    <w:rsid w:val="003F3799"/>
    <w:rsid w:val="003F4371"/>
    <w:rsid w:val="003F6A58"/>
    <w:rsid w:val="003F7FBB"/>
    <w:rsid w:val="00401ED5"/>
    <w:rsid w:val="0040618D"/>
    <w:rsid w:val="00406FEA"/>
    <w:rsid w:val="004135E2"/>
    <w:rsid w:val="00414360"/>
    <w:rsid w:val="0042168D"/>
    <w:rsid w:val="0042718C"/>
    <w:rsid w:val="004336EC"/>
    <w:rsid w:val="00434AEB"/>
    <w:rsid w:val="00436A77"/>
    <w:rsid w:val="004412E8"/>
    <w:rsid w:val="00443695"/>
    <w:rsid w:val="0044538C"/>
    <w:rsid w:val="0044567F"/>
    <w:rsid w:val="00452761"/>
    <w:rsid w:val="00452C67"/>
    <w:rsid w:val="00453F90"/>
    <w:rsid w:val="00463686"/>
    <w:rsid w:val="004724A0"/>
    <w:rsid w:val="00472BF0"/>
    <w:rsid w:val="00474677"/>
    <w:rsid w:val="0047526F"/>
    <w:rsid w:val="004772A6"/>
    <w:rsid w:val="004810CE"/>
    <w:rsid w:val="004839C8"/>
    <w:rsid w:val="004853C0"/>
    <w:rsid w:val="004878BB"/>
    <w:rsid w:val="00490F37"/>
    <w:rsid w:val="00491456"/>
    <w:rsid w:val="00491EE1"/>
    <w:rsid w:val="00494916"/>
    <w:rsid w:val="00494DA1"/>
    <w:rsid w:val="00497236"/>
    <w:rsid w:val="004972B2"/>
    <w:rsid w:val="004A1283"/>
    <w:rsid w:val="004A78E5"/>
    <w:rsid w:val="004B04BD"/>
    <w:rsid w:val="004B054C"/>
    <w:rsid w:val="004B2D60"/>
    <w:rsid w:val="004B5E23"/>
    <w:rsid w:val="004B5FA3"/>
    <w:rsid w:val="004B7BD2"/>
    <w:rsid w:val="004C73E1"/>
    <w:rsid w:val="004D193B"/>
    <w:rsid w:val="004D5B67"/>
    <w:rsid w:val="004E4D06"/>
    <w:rsid w:val="004E513F"/>
    <w:rsid w:val="004E5BE0"/>
    <w:rsid w:val="004F0212"/>
    <w:rsid w:val="004F3707"/>
    <w:rsid w:val="004F5A08"/>
    <w:rsid w:val="00504DFF"/>
    <w:rsid w:val="00506EB6"/>
    <w:rsid w:val="005115B1"/>
    <w:rsid w:val="00512E98"/>
    <w:rsid w:val="00515965"/>
    <w:rsid w:val="0051792E"/>
    <w:rsid w:val="0052090A"/>
    <w:rsid w:val="00520B31"/>
    <w:rsid w:val="005216BF"/>
    <w:rsid w:val="00522D5D"/>
    <w:rsid w:val="00526F79"/>
    <w:rsid w:val="005272A8"/>
    <w:rsid w:val="00527926"/>
    <w:rsid w:val="00527A34"/>
    <w:rsid w:val="00530525"/>
    <w:rsid w:val="00531654"/>
    <w:rsid w:val="00532D11"/>
    <w:rsid w:val="005347AD"/>
    <w:rsid w:val="00534945"/>
    <w:rsid w:val="0053772A"/>
    <w:rsid w:val="00537BF5"/>
    <w:rsid w:val="00554BB4"/>
    <w:rsid w:val="00555EC2"/>
    <w:rsid w:val="00556999"/>
    <w:rsid w:val="00557995"/>
    <w:rsid w:val="00562674"/>
    <w:rsid w:val="00562F02"/>
    <w:rsid w:val="005657C4"/>
    <w:rsid w:val="00570823"/>
    <w:rsid w:val="00574D8C"/>
    <w:rsid w:val="00576A54"/>
    <w:rsid w:val="00577400"/>
    <w:rsid w:val="00580D80"/>
    <w:rsid w:val="005835FC"/>
    <w:rsid w:val="00583928"/>
    <w:rsid w:val="00590761"/>
    <w:rsid w:val="005912D2"/>
    <w:rsid w:val="00594DD6"/>
    <w:rsid w:val="00596985"/>
    <w:rsid w:val="005A0AD0"/>
    <w:rsid w:val="005A474C"/>
    <w:rsid w:val="005A6053"/>
    <w:rsid w:val="005B4BC6"/>
    <w:rsid w:val="005C1577"/>
    <w:rsid w:val="005C442E"/>
    <w:rsid w:val="005D0573"/>
    <w:rsid w:val="005D33D5"/>
    <w:rsid w:val="00604E45"/>
    <w:rsid w:val="00605D75"/>
    <w:rsid w:val="00605F53"/>
    <w:rsid w:val="00614236"/>
    <w:rsid w:val="00621053"/>
    <w:rsid w:val="00622C72"/>
    <w:rsid w:val="0062573C"/>
    <w:rsid w:val="00625A87"/>
    <w:rsid w:val="00631E3B"/>
    <w:rsid w:val="0064205D"/>
    <w:rsid w:val="006441DB"/>
    <w:rsid w:val="00645720"/>
    <w:rsid w:val="0064673A"/>
    <w:rsid w:val="00651D00"/>
    <w:rsid w:val="00653592"/>
    <w:rsid w:val="0065592E"/>
    <w:rsid w:val="006642E5"/>
    <w:rsid w:val="00672BEB"/>
    <w:rsid w:val="0067437B"/>
    <w:rsid w:val="00675576"/>
    <w:rsid w:val="00680E0C"/>
    <w:rsid w:val="00681EC5"/>
    <w:rsid w:val="00682371"/>
    <w:rsid w:val="006853D6"/>
    <w:rsid w:val="00686BE0"/>
    <w:rsid w:val="006920BD"/>
    <w:rsid w:val="00693170"/>
    <w:rsid w:val="00693321"/>
    <w:rsid w:val="00697E23"/>
    <w:rsid w:val="006A06E7"/>
    <w:rsid w:val="006A260B"/>
    <w:rsid w:val="006A316A"/>
    <w:rsid w:val="006B1869"/>
    <w:rsid w:val="006B536D"/>
    <w:rsid w:val="006C6D36"/>
    <w:rsid w:val="006C7E9E"/>
    <w:rsid w:val="006D2AFA"/>
    <w:rsid w:val="006D4935"/>
    <w:rsid w:val="006D7391"/>
    <w:rsid w:val="006E45EE"/>
    <w:rsid w:val="006E4EEA"/>
    <w:rsid w:val="006E6F25"/>
    <w:rsid w:val="006E7A6C"/>
    <w:rsid w:val="006F05ED"/>
    <w:rsid w:val="006F1E37"/>
    <w:rsid w:val="006F306D"/>
    <w:rsid w:val="006F6116"/>
    <w:rsid w:val="006F62B3"/>
    <w:rsid w:val="006F77D9"/>
    <w:rsid w:val="00705759"/>
    <w:rsid w:val="0070663F"/>
    <w:rsid w:val="00706A2C"/>
    <w:rsid w:val="007076AD"/>
    <w:rsid w:val="00710417"/>
    <w:rsid w:val="00714DCD"/>
    <w:rsid w:val="0071557C"/>
    <w:rsid w:val="007155C3"/>
    <w:rsid w:val="00716E4D"/>
    <w:rsid w:val="007176E0"/>
    <w:rsid w:val="00722EEB"/>
    <w:rsid w:val="00734DF8"/>
    <w:rsid w:val="00735975"/>
    <w:rsid w:val="007415C7"/>
    <w:rsid w:val="00741FD2"/>
    <w:rsid w:val="00742664"/>
    <w:rsid w:val="0074326D"/>
    <w:rsid w:val="007442A6"/>
    <w:rsid w:val="00744EF3"/>
    <w:rsid w:val="00761BDB"/>
    <w:rsid w:val="00763C3F"/>
    <w:rsid w:val="00764E0D"/>
    <w:rsid w:val="00766A21"/>
    <w:rsid w:val="007709B6"/>
    <w:rsid w:val="007715EA"/>
    <w:rsid w:val="00772798"/>
    <w:rsid w:val="00774FCA"/>
    <w:rsid w:val="0078785D"/>
    <w:rsid w:val="007902B8"/>
    <w:rsid w:val="00790E5F"/>
    <w:rsid w:val="007919CF"/>
    <w:rsid w:val="00796377"/>
    <w:rsid w:val="00797226"/>
    <w:rsid w:val="007A3EC4"/>
    <w:rsid w:val="007B0398"/>
    <w:rsid w:val="007B52FC"/>
    <w:rsid w:val="007C0317"/>
    <w:rsid w:val="007C2BD2"/>
    <w:rsid w:val="007D052F"/>
    <w:rsid w:val="007D2137"/>
    <w:rsid w:val="007D3A34"/>
    <w:rsid w:val="007D6566"/>
    <w:rsid w:val="007E2801"/>
    <w:rsid w:val="007E2E20"/>
    <w:rsid w:val="007E4656"/>
    <w:rsid w:val="007E46A7"/>
    <w:rsid w:val="007E57C7"/>
    <w:rsid w:val="007F5564"/>
    <w:rsid w:val="00803B12"/>
    <w:rsid w:val="00804146"/>
    <w:rsid w:val="00805D5C"/>
    <w:rsid w:val="00806674"/>
    <w:rsid w:val="00806CBE"/>
    <w:rsid w:val="00810C03"/>
    <w:rsid w:val="008146E0"/>
    <w:rsid w:val="00817559"/>
    <w:rsid w:val="0082196A"/>
    <w:rsid w:val="0082476B"/>
    <w:rsid w:val="00826711"/>
    <w:rsid w:val="008304D9"/>
    <w:rsid w:val="00830F08"/>
    <w:rsid w:val="0083137A"/>
    <w:rsid w:val="00832CC2"/>
    <w:rsid w:val="00834811"/>
    <w:rsid w:val="00834FA9"/>
    <w:rsid w:val="00835B86"/>
    <w:rsid w:val="00836994"/>
    <w:rsid w:val="0084174B"/>
    <w:rsid w:val="0084677D"/>
    <w:rsid w:val="008467F3"/>
    <w:rsid w:val="0085035F"/>
    <w:rsid w:val="00854750"/>
    <w:rsid w:val="00854DE6"/>
    <w:rsid w:val="0086544D"/>
    <w:rsid w:val="00866E2C"/>
    <w:rsid w:val="008716B3"/>
    <w:rsid w:val="008742D2"/>
    <w:rsid w:val="0087473C"/>
    <w:rsid w:val="00877706"/>
    <w:rsid w:val="00877DFC"/>
    <w:rsid w:val="00880688"/>
    <w:rsid w:val="00883FEC"/>
    <w:rsid w:val="00884024"/>
    <w:rsid w:val="00884348"/>
    <w:rsid w:val="00891BB2"/>
    <w:rsid w:val="008924AF"/>
    <w:rsid w:val="00893AA7"/>
    <w:rsid w:val="008959B2"/>
    <w:rsid w:val="008975F0"/>
    <w:rsid w:val="008979A8"/>
    <w:rsid w:val="008A52EA"/>
    <w:rsid w:val="008B05F3"/>
    <w:rsid w:val="008B228B"/>
    <w:rsid w:val="008B5ED6"/>
    <w:rsid w:val="008B6AA5"/>
    <w:rsid w:val="008B6F45"/>
    <w:rsid w:val="008C5AEB"/>
    <w:rsid w:val="008D3F81"/>
    <w:rsid w:val="008D7610"/>
    <w:rsid w:val="008E003D"/>
    <w:rsid w:val="008E315C"/>
    <w:rsid w:val="008E4116"/>
    <w:rsid w:val="008F2928"/>
    <w:rsid w:val="008F485A"/>
    <w:rsid w:val="008F4D7C"/>
    <w:rsid w:val="00900636"/>
    <w:rsid w:val="00900C6A"/>
    <w:rsid w:val="00903796"/>
    <w:rsid w:val="00906CEC"/>
    <w:rsid w:val="00912C40"/>
    <w:rsid w:val="00913492"/>
    <w:rsid w:val="00925A9D"/>
    <w:rsid w:val="00925EAC"/>
    <w:rsid w:val="00932A7F"/>
    <w:rsid w:val="0093517A"/>
    <w:rsid w:val="009413D3"/>
    <w:rsid w:val="00943314"/>
    <w:rsid w:val="00946E43"/>
    <w:rsid w:val="0095030B"/>
    <w:rsid w:val="009531F3"/>
    <w:rsid w:val="0096076B"/>
    <w:rsid w:val="009647E1"/>
    <w:rsid w:val="009652FD"/>
    <w:rsid w:val="00966EF8"/>
    <w:rsid w:val="0096726D"/>
    <w:rsid w:val="00967C1A"/>
    <w:rsid w:val="00973D62"/>
    <w:rsid w:val="009758DB"/>
    <w:rsid w:val="009768B4"/>
    <w:rsid w:val="0098034D"/>
    <w:rsid w:val="00981EE8"/>
    <w:rsid w:val="009838C1"/>
    <w:rsid w:val="009866A5"/>
    <w:rsid w:val="009877B6"/>
    <w:rsid w:val="0099178F"/>
    <w:rsid w:val="00993817"/>
    <w:rsid w:val="00996B5B"/>
    <w:rsid w:val="009A119A"/>
    <w:rsid w:val="009A2F62"/>
    <w:rsid w:val="009A4DEB"/>
    <w:rsid w:val="009A7EE6"/>
    <w:rsid w:val="009B3648"/>
    <w:rsid w:val="009B6326"/>
    <w:rsid w:val="009C1013"/>
    <w:rsid w:val="009C1F93"/>
    <w:rsid w:val="009C3F68"/>
    <w:rsid w:val="009C68D7"/>
    <w:rsid w:val="009D01B3"/>
    <w:rsid w:val="009D0CF2"/>
    <w:rsid w:val="009D664C"/>
    <w:rsid w:val="009E28D3"/>
    <w:rsid w:val="009E3893"/>
    <w:rsid w:val="009E4825"/>
    <w:rsid w:val="009E4A3B"/>
    <w:rsid w:val="009E4B7B"/>
    <w:rsid w:val="009F40CF"/>
    <w:rsid w:val="00A0076C"/>
    <w:rsid w:val="00A03231"/>
    <w:rsid w:val="00A04183"/>
    <w:rsid w:val="00A05F2C"/>
    <w:rsid w:val="00A156A5"/>
    <w:rsid w:val="00A1650E"/>
    <w:rsid w:val="00A172B1"/>
    <w:rsid w:val="00A23B8E"/>
    <w:rsid w:val="00A25EEC"/>
    <w:rsid w:val="00A30DB5"/>
    <w:rsid w:val="00A3226F"/>
    <w:rsid w:val="00A4000F"/>
    <w:rsid w:val="00A46430"/>
    <w:rsid w:val="00A47090"/>
    <w:rsid w:val="00A50B2F"/>
    <w:rsid w:val="00A56727"/>
    <w:rsid w:val="00A573DD"/>
    <w:rsid w:val="00A60141"/>
    <w:rsid w:val="00A6063C"/>
    <w:rsid w:val="00A606A8"/>
    <w:rsid w:val="00A6106D"/>
    <w:rsid w:val="00A6167F"/>
    <w:rsid w:val="00A61E0E"/>
    <w:rsid w:val="00A630FC"/>
    <w:rsid w:val="00A77E5E"/>
    <w:rsid w:val="00A83D51"/>
    <w:rsid w:val="00A8504D"/>
    <w:rsid w:val="00A85822"/>
    <w:rsid w:val="00A87FF8"/>
    <w:rsid w:val="00A96B02"/>
    <w:rsid w:val="00A97CB3"/>
    <w:rsid w:val="00AA0CA3"/>
    <w:rsid w:val="00AB1620"/>
    <w:rsid w:val="00AB177D"/>
    <w:rsid w:val="00AB17C4"/>
    <w:rsid w:val="00AB37F1"/>
    <w:rsid w:val="00AB4D75"/>
    <w:rsid w:val="00AB640C"/>
    <w:rsid w:val="00AC5547"/>
    <w:rsid w:val="00AC597A"/>
    <w:rsid w:val="00AE61C4"/>
    <w:rsid w:val="00AE6DE7"/>
    <w:rsid w:val="00AF2328"/>
    <w:rsid w:val="00AF2A1D"/>
    <w:rsid w:val="00B1126E"/>
    <w:rsid w:val="00B120C4"/>
    <w:rsid w:val="00B12405"/>
    <w:rsid w:val="00B25938"/>
    <w:rsid w:val="00B25D56"/>
    <w:rsid w:val="00B412B1"/>
    <w:rsid w:val="00B412D2"/>
    <w:rsid w:val="00B429EE"/>
    <w:rsid w:val="00B44B16"/>
    <w:rsid w:val="00B45BFB"/>
    <w:rsid w:val="00B4776C"/>
    <w:rsid w:val="00B50551"/>
    <w:rsid w:val="00B52A2A"/>
    <w:rsid w:val="00B53F29"/>
    <w:rsid w:val="00B56E8F"/>
    <w:rsid w:val="00B56FFD"/>
    <w:rsid w:val="00B6045E"/>
    <w:rsid w:val="00B6054C"/>
    <w:rsid w:val="00B617E0"/>
    <w:rsid w:val="00B63D20"/>
    <w:rsid w:val="00B640C8"/>
    <w:rsid w:val="00B658FF"/>
    <w:rsid w:val="00B71326"/>
    <w:rsid w:val="00B72447"/>
    <w:rsid w:val="00B743AA"/>
    <w:rsid w:val="00B76094"/>
    <w:rsid w:val="00B80CCE"/>
    <w:rsid w:val="00B81355"/>
    <w:rsid w:val="00B81A98"/>
    <w:rsid w:val="00B90134"/>
    <w:rsid w:val="00B93893"/>
    <w:rsid w:val="00B93A3A"/>
    <w:rsid w:val="00B97C27"/>
    <w:rsid w:val="00BA5F34"/>
    <w:rsid w:val="00BA62F6"/>
    <w:rsid w:val="00BB3DDD"/>
    <w:rsid w:val="00BB4A6E"/>
    <w:rsid w:val="00BC5B0B"/>
    <w:rsid w:val="00BD0840"/>
    <w:rsid w:val="00BD31FA"/>
    <w:rsid w:val="00BD64A0"/>
    <w:rsid w:val="00BE275B"/>
    <w:rsid w:val="00BE5614"/>
    <w:rsid w:val="00BE5B5D"/>
    <w:rsid w:val="00BE7AEC"/>
    <w:rsid w:val="00BF01B2"/>
    <w:rsid w:val="00BF05F7"/>
    <w:rsid w:val="00BF0C30"/>
    <w:rsid w:val="00BF5C50"/>
    <w:rsid w:val="00C00536"/>
    <w:rsid w:val="00C0084A"/>
    <w:rsid w:val="00C02A62"/>
    <w:rsid w:val="00C03D56"/>
    <w:rsid w:val="00C06964"/>
    <w:rsid w:val="00C07F84"/>
    <w:rsid w:val="00C13A45"/>
    <w:rsid w:val="00C146CD"/>
    <w:rsid w:val="00C20C30"/>
    <w:rsid w:val="00C20C75"/>
    <w:rsid w:val="00C22B0C"/>
    <w:rsid w:val="00C252F1"/>
    <w:rsid w:val="00C34C6F"/>
    <w:rsid w:val="00C41D0F"/>
    <w:rsid w:val="00C4362C"/>
    <w:rsid w:val="00C437E0"/>
    <w:rsid w:val="00C43E17"/>
    <w:rsid w:val="00C44604"/>
    <w:rsid w:val="00C44E1E"/>
    <w:rsid w:val="00C45DF7"/>
    <w:rsid w:val="00C505CF"/>
    <w:rsid w:val="00C53A06"/>
    <w:rsid w:val="00C55EAF"/>
    <w:rsid w:val="00C568C3"/>
    <w:rsid w:val="00C608A3"/>
    <w:rsid w:val="00C61F4D"/>
    <w:rsid w:val="00C64340"/>
    <w:rsid w:val="00C65B5A"/>
    <w:rsid w:val="00C73E83"/>
    <w:rsid w:val="00C74C6F"/>
    <w:rsid w:val="00C840BF"/>
    <w:rsid w:val="00C86AC9"/>
    <w:rsid w:val="00C9611A"/>
    <w:rsid w:val="00C96E8E"/>
    <w:rsid w:val="00CA444C"/>
    <w:rsid w:val="00CA44EC"/>
    <w:rsid w:val="00CB03C1"/>
    <w:rsid w:val="00CB152C"/>
    <w:rsid w:val="00CB6D86"/>
    <w:rsid w:val="00CB7A4E"/>
    <w:rsid w:val="00CC21F7"/>
    <w:rsid w:val="00CC2CF9"/>
    <w:rsid w:val="00CC5AD7"/>
    <w:rsid w:val="00CC7C0C"/>
    <w:rsid w:val="00CD2E23"/>
    <w:rsid w:val="00CD3C5A"/>
    <w:rsid w:val="00CD5BAA"/>
    <w:rsid w:val="00CD6F77"/>
    <w:rsid w:val="00CE0076"/>
    <w:rsid w:val="00CE38CF"/>
    <w:rsid w:val="00CE5212"/>
    <w:rsid w:val="00CE64B7"/>
    <w:rsid w:val="00CE76D0"/>
    <w:rsid w:val="00CE7B9F"/>
    <w:rsid w:val="00CF382E"/>
    <w:rsid w:val="00CF4C74"/>
    <w:rsid w:val="00D01EC2"/>
    <w:rsid w:val="00D03915"/>
    <w:rsid w:val="00D14D7B"/>
    <w:rsid w:val="00D156EE"/>
    <w:rsid w:val="00D17E52"/>
    <w:rsid w:val="00D2031A"/>
    <w:rsid w:val="00D207F2"/>
    <w:rsid w:val="00D23180"/>
    <w:rsid w:val="00D26554"/>
    <w:rsid w:val="00D360E0"/>
    <w:rsid w:val="00D36730"/>
    <w:rsid w:val="00D441B3"/>
    <w:rsid w:val="00D54CC1"/>
    <w:rsid w:val="00D57A9E"/>
    <w:rsid w:val="00D6031F"/>
    <w:rsid w:val="00D63265"/>
    <w:rsid w:val="00D637D8"/>
    <w:rsid w:val="00D645E8"/>
    <w:rsid w:val="00D65322"/>
    <w:rsid w:val="00D66BD7"/>
    <w:rsid w:val="00D71F2A"/>
    <w:rsid w:val="00D73101"/>
    <w:rsid w:val="00D75F7D"/>
    <w:rsid w:val="00D813B1"/>
    <w:rsid w:val="00D83838"/>
    <w:rsid w:val="00D83DD1"/>
    <w:rsid w:val="00D92C2C"/>
    <w:rsid w:val="00D932C8"/>
    <w:rsid w:val="00D94E13"/>
    <w:rsid w:val="00DB0C44"/>
    <w:rsid w:val="00DB2DF1"/>
    <w:rsid w:val="00DB521B"/>
    <w:rsid w:val="00DB53AA"/>
    <w:rsid w:val="00DB5484"/>
    <w:rsid w:val="00DC2062"/>
    <w:rsid w:val="00DC42AB"/>
    <w:rsid w:val="00DC5B05"/>
    <w:rsid w:val="00DC7E34"/>
    <w:rsid w:val="00DD5478"/>
    <w:rsid w:val="00DD7284"/>
    <w:rsid w:val="00DE0D87"/>
    <w:rsid w:val="00DE0DA1"/>
    <w:rsid w:val="00DE3BED"/>
    <w:rsid w:val="00DE5D32"/>
    <w:rsid w:val="00DE5E18"/>
    <w:rsid w:val="00DE642F"/>
    <w:rsid w:val="00DF2837"/>
    <w:rsid w:val="00E00C90"/>
    <w:rsid w:val="00E02610"/>
    <w:rsid w:val="00E02BE1"/>
    <w:rsid w:val="00E04249"/>
    <w:rsid w:val="00E07CEC"/>
    <w:rsid w:val="00E131A2"/>
    <w:rsid w:val="00E23D01"/>
    <w:rsid w:val="00E26E25"/>
    <w:rsid w:val="00E278C1"/>
    <w:rsid w:val="00E30346"/>
    <w:rsid w:val="00E35615"/>
    <w:rsid w:val="00E413B7"/>
    <w:rsid w:val="00E43CB1"/>
    <w:rsid w:val="00E46A84"/>
    <w:rsid w:val="00E47955"/>
    <w:rsid w:val="00E50FD1"/>
    <w:rsid w:val="00E5225E"/>
    <w:rsid w:val="00E54013"/>
    <w:rsid w:val="00E54F10"/>
    <w:rsid w:val="00E5677E"/>
    <w:rsid w:val="00E61D2F"/>
    <w:rsid w:val="00E62395"/>
    <w:rsid w:val="00E63193"/>
    <w:rsid w:val="00E6345A"/>
    <w:rsid w:val="00E65CD4"/>
    <w:rsid w:val="00E67212"/>
    <w:rsid w:val="00E740B6"/>
    <w:rsid w:val="00E75E01"/>
    <w:rsid w:val="00E80626"/>
    <w:rsid w:val="00E80D5C"/>
    <w:rsid w:val="00E82B43"/>
    <w:rsid w:val="00E85589"/>
    <w:rsid w:val="00E864BC"/>
    <w:rsid w:val="00E91421"/>
    <w:rsid w:val="00E92512"/>
    <w:rsid w:val="00E9356C"/>
    <w:rsid w:val="00E96F43"/>
    <w:rsid w:val="00EA0343"/>
    <w:rsid w:val="00EA3DFD"/>
    <w:rsid w:val="00EA57CC"/>
    <w:rsid w:val="00EA62F7"/>
    <w:rsid w:val="00EA654A"/>
    <w:rsid w:val="00EA78FA"/>
    <w:rsid w:val="00EA7BD7"/>
    <w:rsid w:val="00EB421D"/>
    <w:rsid w:val="00EB7B15"/>
    <w:rsid w:val="00EC3B0D"/>
    <w:rsid w:val="00EC4302"/>
    <w:rsid w:val="00EC7E17"/>
    <w:rsid w:val="00ED2638"/>
    <w:rsid w:val="00ED427B"/>
    <w:rsid w:val="00ED75BB"/>
    <w:rsid w:val="00EE01FE"/>
    <w:rsid w:val="00EE55A5"/>
    <w:rsid w:val="00EF1803"/>
    <w:rsid w:val="00EF1F6C"/>
    <w:rsid w:val="00EF7535"/>
    <w:rsid w:val="00F03E99"/>
    <w:rsid w:val="00F10118"/>
    <w:rsid w:val="00F1288E"/>
    <w:rsid w:val="00F16110"/>
    <w:rsid w:val="00F17844"/>
    <w:rsid w:val="00F22C6E"/>
    <w:rsid w:val="00F22EDA"/>
    <w:rsid w:val="00F241C5"/>
    <w:rsid w:val="00F25918"/>
    <w:rsid w:val="00F25B76"/>
    <w:rsid w:val="00F318DB"/>
    <w:rsid w:val="00F31961"/>
    <w:rsid w:val="00F31A3F"/>
    <w:rsid w:val="00F359A8"/>
    <w:rsid w:val="00F4157E"/>
    <w:rsid w:val="00F513B0"/>
    <w:rsid w:val="00F52927"/>
    <w:rsid w:val="00F52AC7"/>
    <w:rsid w:val="00F639A2"/>
    <w:rsid w:val="00F679C3"/>
    <w:rsid w:val="00F77B83"/>
    <w:rsid w:val="00F96AEC"/>
    <w:rsid w:val="00F97540"/>
    <w:rsid w:val="00FB5B39"/>
    <w:rsid w:val="00FC12FD"/>
    <w:rsid w:val="00FC2489"/>
    <w:rsid w:val="00FD1CA3"/>
    <w:rsid w:val="00FD55E4"/>
    <w:rsid w:val="00FD6774"/>
    <w:rsid w:val="00FE4445"/>
    <w:rsid w:val="00FF0207"/>
    <w:rsid w:val="00FF053A"/>
    <w:rsid w:val="00FF0AFD"/>
    <w:rsid w:val="00FF16F4"/>
    <w:rsid w:val="00FF2144"/>
    <w:rsid w:val="00FF44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31"/>
    <w:rPr>
      <w:sz w:val="24"/>
      <w:szCs w:val="24"/>
    </w:rPr>
  </w:style>
  <w:style w:type="paragraph" w:styleId="2">
    <w:name w:val="heading 2"/>
    <w:basedOn w:val="a"/>
    <w:next w:val="a"/>
    <w:link w:val="2Char"/>
    <w:uiPriority w:val="99"/>
    <w:qFormat/>
    <w:rsid w:val="00BD31F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9"/>
    <w:semiHidden/>
    <w:locked/>
    <w:rsid w:val="006441DB"/>
    <w:rPr>
      <w:rFonts w:ascii="Cambria" w:hAnsi="Cambria" w:cs="Times New Roman"/>
      <w:b/>
      <w:bCs/>
      <w:i/>
      <w:iCs/>
      <w:sz w:val="28"/>
      <w:szCs w:val="28"/>
    </w:rPr>
  </w:style>
  <w:style w:type="character" w:styleId="-">
    <w:name w:val="Hyperlink"/>
    <w:uiPriority w:val="99"/>
    <w:rsid w:val="00BD31FA"/>
    <w:rPr>
      <w:rFonts w:cs="Times New Roman"/>
      <w:color w:val="0000FF"/>
      <w:u w:val="single"/>
    </w:rPr>
  </w:style>
  <w:style w:type="paragraph" w:styleId="Web">
    <w:name w:val="Normal (Web)"/>
    <w:basedOn w:val="a"/>
    <w:uiPriority w:val="99"/>
    <w:rsid w:val="00BD31FA"/>
    <w:pPr>
      <w:spacing w:before="100" w:beforeAutospacing="1" w:after="100" w:afterAutospacing="1"/>
    </w:pPr>
  </w:style>
  <w:style w:type="paragraph" w:customStyle="1" w:styleId="HeadingLead-in">
    <w:name w:val="Heading Lead-in"/>
    <w:next w:val="2"/>
    <w:uiPriority w:val="99"/>
    <w:rsid w:val="00BD31FA"/>
    <w:pPr>
      <w:keepNext/>
      <w:spacing w:before="280"/>
    </w:pPr>
    <w:rPr>
      <w:rFonts w:ascii="Baskerville" w:hAnsi="Baskerville"/>
      <w:color w:val="B00000"/>
      <w:u w:color="B00000"/>
      <w:lang w:val="en-US" w:eastAsia="en-IE"/>
    </w:rPr>
  </w:style>
  <w:style w:type="paragraph" w:styleId="a3">
    <w:name w:val="Balloon Text"/>
    <w:basedOn w:val="a"/>
    <w:link w:val="Char"/>
    <w:uiPriority w:val="99"/>
    <w:semiHidden/>
    <w:rsid w:val="00127847"/>
    <w:rPr>
      <w:sz w:val="2"/>
      <w:szCs w:val="20"/>
    </w:rPr>
  </w:style>
  <w:style w:type="character" w:customStyle="1" w:styleId="Char">
    <w:name w:val="Κείμενο πλαισίου Char"/>
    <w:link w:val="a3"/>
    <w:uiPriority w:val="99"/>
    <w:semiHidden/>
    <w:locked/>
    <w:rsid w:val="006441DB"/>
    <w:rPr>
      <w:rFonts w:cs="Times New Roman"/>
      <w:sz w:val="2"/>
    </w:rPr>
  </w:style>
  <w:style w:type="paragraph" w:styleId="a4">
    <w:name w:val="header"/>
    <w:basedOn w:val="a"/>
    <w:link w:val="Char0"/>
    <w:uiPriority w:val="99"/>
    <w:rsid w:val="00B56FFD"/>
    <w:pPr>
      <w:tabs>
        <w:tab w:val="center" w:pos="4153"/>
        <w:tab w:val="right" w:pos="8306"/>
      </w:tabs>
    </w:pPr>
  </w:style>
  <w:style w:type="character" w:customStyle="1" w:styleId="Char0">
    <w:name w:val="Κεφαλίδα Char"/>
    <w:link w:val="a4"/>
    <w:uiPriority w:val="99"/>
    <w:semiHidden/>
    <w:locked/>
    <w:rsid w:val="006441DB"/>
    <w:rPr>
      <w:rFonts w:cs="Times New Roman"/>
      <w:sz w:val="24"/>
      <w:szCs w:val="24"/>
    </w:rPr>
  </w:style>
  <w:style w:type="paragraph" w:styleId="a5">
    <w:name w:val="footer"/>
    <w:basedOn w:val="a"/>
    <w:link w:val="Char1"/>
    <w:uiPriority w:val="99"/>
    <w:rsid w:val="00B56FFD"/>
    <w:pPr>
      <w:tabs>
        <w:tab w:val="center" w:pos="4153"/>
        <w:tab w:val="right" w:pos="8306"/>
      </w:tabs>
    </w:pPr>
  </w:style>
  <w:style w:type="character" w:customStyle="1" w:styleId="Char1">
    <w:name w:val="Υποσέλιδο Char"/>
    <w:link w:val="a5"/>
    <w:uiPriority w:val="99"/>
    <w:semiHidden/>
    <w:locked/>
    <w:rsid w:val="006441DB"/>
    <w:rPr>
      <w:rFonts w:cs="Times New Roman"/>
      <w:sz w:val="24"/>
      <w:szCs w:val="24"/>
    </w:rPr>
  </w:style>
  <w:style w:type="table" w:styleId="a6">
    <w:name w:val="Table Grid"/>
    <w:basedOn w:val="a1"/>
    <w:uiPriority w:val="99"/>
    <w:rsid w:val="00C4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Char2"/>
    <w:uiPriority w:val="99"/>
    <w:semiHidden/>
    <w:rsid w:val="00C41D0F"/>
    <w:rPr>
      <w:sz w:val="20"/>
      <w:szCs w:val="20"/>
    </w:rPr>
  </w:style>
  <w:style w:type="character" w:customStyle="1" w:styleId="Char2">
    <w:name w:val="Κείμενο υποσημείωσης Char"/>
    <w:link w:val="a7"/>
    <w:uiPriority w:val="99"/>
    <w:semiHidden/>
    <w:locked/>
    <w:rsid w:val="006441DB"/>
    <w:rPr>
      <w:rFonts w:cs="Times New Roman"/>
      <w:sz w:val="20"/>
      <w:szCs w:val="20"/>
    </w:rPr>
  </w:style>
  <w:style w:type="character" w:styleId="a8">
    <w:name w:val="footnote reference"/>
    <w:uiPriority w:val="99"/>
    <w:semiHidden/>
    <w:rsid w:val="00C41D0F"/>
    <w:rPr>
      <w:rFonts w:cs="Times New Roman"/>
      <w:vertAlign w:val="superscript"/>
    </w:rPr>
  </w:style>
  <w:style w:type="character" w:styleId="a9">
    <w:name w:val="page number"/>
    <w:uiPriority w:val="99"/>
    <w:rsid w:val="000978F2"/>
    <w:rPr>
      <w:rFonts w:cs="Times New Roman"/>
    </w:rPr>
  </w:style>
  <w:style w:type="paragraph" w:styleId="aa">
    <w:name w:val="List Paragraph"/>
    <w:basedOn w:val="a"/>
    <w:uiPriority w:val="99"/>
    <w:qFormat/>
    <w:rsid w:val="00B53F29"/>
    <w:pPr>
      <w:ind w:left="720"/>
    </w:pPr>
  </w:style>
  <w:style w:type="paragraph" w:styleId="ab">
    <w:name w:val="Revision"/>
    <w:hidden/>
    <w:uiPriority w:val="99"/>
    <w:semiHidden/>
    <w:rsid w:val="009838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31"/>
    <w:rPr>
      <w:sz w:val="24"/>
      <w:szCs w:val="24"/>
    </w:rPr>
  </w:style>
  <w:style w:type="paragraph" w:styleId="2">
    <w:name w:val="heading 2"/>
    <w:basedOn w:val="a"/>
    <w:next w:val="a"/>
    <w:link w:val="2Char"/>
    <w:uiPriority w:val="99"/>
    <w:qFormat/>
    <w:rsid w:val="00BD31F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9"/>
    <w:semiHidden/>
    <w:locked/>
    <w:rsid w:val="006441DB"/>
    <w:rPr>
      <w:rFonts w:ascii="Cambria" w:hAnsi="Cambria" w:cs="Times New Roman"/>
      <w:b/>
      <w:bCs/>
      <w:i/>
      <w:iCs/>
      <w:sz w:val="28"/>
      <w:szCs w:val="28"/>
    </w:rPr>
  </w:style>
  <w:style w:type="character" w:styleId="-">
    <w:name w:val="Hyperlink"/>
    <w:uiPriority w:val="99"/>
    <w:rsid w:val="00BD31FA"/>
    <w:rPr>
      <w:rFonts w:cs="Times New Roman"/>
      <w:color w:val="0000FF"/>
      <w:u w:val="single"/>
    </w:rPr>
  </w:style>
  <w:style w:type="paragraph" w:styleId="Web">
    <w:name w:val="Normal (Web)"/>
    <w:basedOn w:val="a"/>
    <w:uiPriority w:val="99"/>
    <w:rsid w:val="00BD31FA"/>
    <w:pPr>
      <w:spacing w:before="100" w:beforeAutospacing="1" w:after="100" w:afterAutospacing="1"/>
    </w:pPr>
  </w:style>
  <w:style w:type="paragraph" w:customStyle="1" w:styleId="HeadingLead-in">
    <w:name w:val="Heading Lead-in"/>
    <w:next w:val="2"/>
    <w:uiPriority w:val="99"/>
    <w:rsid w:val="00BD31FA"/>
    <w:pPr>
      <w:keepNext/>
      <w:spacing w:before="280"/>
    </w:pPr>
    <w:rPr>
      <w:rFonts w:ascii="Baskerville" w:hAnsi="Baskerville"/>
      <w:color w:val="B00000"/>
      <w:u w:color="B00000"/>
      <w:lang w:val="en-US" w:eastAsia="en-IE"/>
    </w:rPr>
  </w:style>
  <w:style w:type="paragraph" w:styleId="a3">
    <w:name w:val="Balloon Text"/>
    <w:basedOn w:val="a"/>
    <w:link w:val="Char"/>
    <w:uiPriority w:val="99"/>
    <w:semiHidden/>
    <w:rsid w:val="00127847"/>
    <w:rPr>
      <w:sz w:val="2"/>
      <w:szCs w:val="20"/>
    </w:rPr>
  </w:style>
  <w:style w:type="character" w:customStyle="1" w:styleId="Char">
    <w:name w:val="Κείμενο πλαισίου Char"/>
    <w:link w:val="a3"/>
    <w:uiPriority w:val="99"/>
    <w:semiHidden/>
    <w:locked/>
    <w:rsid w:val="006441DB"/>
    <w:rPr>
      <w:rFonts w:cs="Times New Roman"/>
      <w:sz w:val="2"/>
    </w:rPr>
  </w:style>
  <w:style w:type="paragraph" w:styleId="a4">
    <w:name w:val="header"/>
    <w:basedOn w:val="a"/>
    <w:link w:val="Char0"/>
    <w:uiPriority w:val="99"/>
    <w:rsid w:val="00B56FFD"/>
    <w:pPr>
      <w:tabs>
        <w:tab w:val="center" w:pos="4153"/>
        <w:tab w:val="right" w:pos="8306"/>
      </w:tabs>
    </w:pPr>
  </w:style>
  <w:style w:type="character" w:customStyle="1" w:styleId="Char0">
    <w:name w:val="Κεφαλίδα Char"/>
    <w:link w:val="a4"/>
    <w:uiPriority w:val="99"/>
    <w:semiHidden/>
    <w:locked/>
    <w:rsid w:val="006441DB"/>
    <w:rPr>
      <w:rFonts w:cs="Times New Roman"/>
      <w:sz w:val="24"/>
      <w:szCs w:val="24"/>
    </w:rPr>
  </w:style>
  <w:style w:type="paragraph" w:styleId="a5">
    <w:name w:val="footer"/>
    <w:basedOn w:val="a"/>
    <w:link w:val="Char1"/>
    <w:uiPriority w:val="99"/>
    <w:rsid w:val="00B56FFD"/>
    <w:pPr>
      <w:tabs>
        <w:tab w:val="center" w:pos="4153"/>
        <w:tab w:val="right" w:pos="8306"/>
      </w:tabs>
    </w:pPr>
  </w:style>
  <w:style w:type="character" w:customStyle="1" w:styleId="Char1">
    <w:name w:val="Υποσέλιδο Char"/>
    <w:link w:val="a5"/>
    <w:uiPriority w:val="99"/>
    <w:semiHidden/>
    <w:locked/>
    <w:rsid w:val="006441DB"/>
    <w:rPr>
      <w:rFonts w:cs="Times New Roman"/>
      <w:sz w:val="24"/>
      <w:szCs w:val="24"/>
    </w:rPr>
  </w:style>
  <w:style w:type="table" w:styleId="a6">
    <w:name w:val="Table Grid"/>
    <w:basedOn w:val="a1"/>
    <w:uiPriority w:val="99"/>
    <w:rsid w:val="00C4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Char2"/>
    <w:uiPriority w:val="99"/>
    <w:semiHidden/>
    <w:rsid w:val="00C41D0F"/>
    <w:rPr>
      <w:sz w:val="20"/>
      <w:szCs w:val="20"/>
    </w:rPr>
  </w:style>
  <w:style w:type="character" w:customStyle="1" w:styleId="Char2">
    <w:name w:val="Κείμενο υποσημείωσης Char"/>
    <w:link w:val="a7"/>
    <w:uiPriority w:val="99"/>
    <w:semiHidden/>
    <w:locked/>
    <w:rsid w:val="006441DB"/>
    <w:rPr>
      <w:rFonts w:cs="Times New Roman"/>
      <w:sz w:val="20"/>
      <w:szCs w:val="20"/>
    </w:rPr>
  </w:style>
  <w:style w:type="character" w:styleId="a8">
    <w:name w:val="footnote reference"/>
    <w:uiPriority w:val="99"/>
    <w:semiHidden/>
    <w:rsid w:val="00C41D0F"/>
    <w:rPr>
      <w:rFonts w:cs="Times New Roman"/>
      <w:vertAlign w:val="superscript"/>
    </w:rPr>
  </w:style>
  <w:style w:type="character" w:styleId="a9">
    <w:name w:val="page number"/>
    <w:uiPriority w:val="99"/>
    <w:rsid w:val="000978F2"/>
    <w:rPr>
      <w:rFonts w:cs="Times New Roman"/>
    </w:rPr>
  </w:style>
  <w:style w:type="paragraph" w:styleId="aa">
    <w:name w:val="List Paragraph"/>
    <w:basedOn w:val="a"/>
    <w:uiPriority w:val="99"/>
    <w:qFormat/>
    <w:rsid w:val="00B53F29"/>
    <w:pPr>
      <w:ind w:left="720"/>
    </w:pPr>
  </w:style>
  <w:style w:type="paragraph" w:styleId="ab">
    <w:name w:val="Revision"/>
    <w:hidden/>
    <w:uiPriority w:val="99"/>
    <w:semiHidden/>
    <w:rsid w:val="009838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544100">
      <w:marLeft w:val="0"/>
      <w:marRight w:val="0"/>
      <w:marTop w:val="0"/>
      <w:marBottom w:val="0"/>
      <w:divBdr>
        <w:top w:val="none" w:sz="0" w:space="0" w:color="auto"/>
        <w:left w:val="none" w:sz="0" w:space="0" w:color="auto"/>
        <w:bottom w:val="none" w:sz="0" w:space="0" w:color="auto"/>
        <w:right w:val="none" w:sz="0" w:space="0" w:color="auto"/>
      </w:divBdr>
    </w:div>
    <w:div w:id="1178544101">
      <w:marLeft w:val="0"/>
      <w:marRight w:val="0"/>
      <w:marTop w:val="0"/>
      <w:marBottom w:val="0"/>
      <w:divBdr>
        <w:top w:val="none" w:sz="0" w:space="0" w:color="auto"/>
        <w:left w:val="none" w:sz="0" w:space="0" w:color="auto"/>
        <w:bottom w:val="none" w:sz="0" w:space="0" w:color="auto"/>
        <w:right w:val="none" w:sz="0" w:space="0" w:color="auto"/>
      </w:divBdr>
    </w:div>
    <w:div w:id="1178544102">
      <w:marLeft w:val="0"/>
      <w:marRight w:val="0"/>
      <w:marTop w:val="0"/>
      <w:marBottom w:val="0"/>
      <w:divBdr>
        <w:top w:val="none" w:sz="0" w:space="0" w:color="auto"/>
        <w:left w:val="none" w:sz="0" w:space="0" w:color="auto"/>
        <w:bottom w:val="none" w:sz="0" w:space="0" w:color="auto"/>
        <w:right w:val="none" w:sz="0" w:space="0" w:color="auto"/>
      </w:divBdr>
    </w:div>
    <w:div w:id="1178544103">
      <w:marLeft w:val="0"/>
      <w:marRight w:val="0"/>
      <w:marTop w:val="0"/>
      <w:marBottom w:val="0"/>
      <w:divBdr>
        <w:top w:val="none" w:sz="0" w:space="0" w:color="auto"/>
        <w:left w:val="none" w:sz="0" w:space="0" w:color="auto"/>
        <w:bottom w:val="none" w:sz="0" w:space="0" w:color="auto"/>
        <w:right w:val="none" w:sz="0" w:space="0" w:color="auto"/>
      </w:divBdr>
    </w:div>
    <w:div w:id="1178544104">
      <w:marLeft w:val="0"/>
      <w:marRight w:val="0"/>
      <w:marTop w:val="0"/>
      <w:marBottom w:val="0"/>
      <w:divBdr>
        <w:top w:val="none" w:sz="0" w:space="0" w:color="auto"/>
        <w:left w:val="none" w:sz="0" w:space="0" w:color="auto"/>
        <w:bottom w:val="none" w:sz="0" w:space="0" w:color="auto"/>
        <w:right w:val="none" w:sz="0" w:space="0" w:color="auto"/>
      </w:divBdr>
    </w:div>
    <w:div w:id="1178544105">
      <w:marLeft w:val="0"/>
      <w:marRight w:val="0"/>
      <w:marTop w:val="0"/>
      <w:marBottom w:val="0"/>
      <w:divBdr>
        <w:top w:val="none" w:sz="0" w:space="0" w:color="auto"/>
        <w:left w:val="none" w:sz="0" w:space="0" w:color="auto"/>
        <w:bottom w:val="none" w:sz="0" w:space="0" w:color="auto"/>
        <w:right w:val="none" w:sz="0" w:space="0" w:color="auto"/>
      </w:divBdr>
    </w:div>
    <w:div w:id="1178544106">
      <w:marLeft w:val="0"/>
      <w:marRight w:val="0"/>
      <w:marTop w:val="0"/>
      <w:marBottom w:val="0"/>
      <w:divBdr>
        <w:top w:val="none" w:sz="0" w:space="0" w:color="auto"/>
        <w:left w:val="none" w:sz="0" w:space="0" w:color="auto"/>
        <w:bottom w:val="none" w:sz="0" w:space="0" w:color="auto"/>
        <w:right w:val="none" w:sz="0" w:space="0" w:color="auto"/>
      </w:divBdr>
    </w:div>
    <w:div w:id="1178544107">
      <w:marLeft w:val="0"/>
      <w:marRight w:val="0"/>
      <w:marTop w:val="0"/>
      <w:marBottom w:val="0"/>
      <w:divBdr>
        <w:top w:val="none" w:sz="0" w:space="0" w:color="auto"/>
        <w:left w:val="none" w:sz="0" w:space="0" w:color="auto"/>
        <w:bottom w:val="none" w:sz="0" w:space="0" w:color="auto"/>
        <w:right w:val="none" w:sz="0" w:space="0" w:color="auto"/>
      </w:divBdr>
    </w:div>
    <w:div w:id="1178544108">
      <w:marLeft w:val="0"/>
      <w:marRight w:val="0"/>
      <w:marTop w:val="0"/>
      <w:marBottom w:val="0"/>
      <w:divBdr>
        <w:top w:val="none" w:sz="0" w:space="0" w:color="auto"/>
        <w:left w:val="none" w:sz="0" w:space="0" w:color="auto"/>
        <w:bottom w:val="none" w:sz="0" w:space="0" w:color="auto"/>
        <w:right w:val="none" w:sz="0" w:space="0" w:color="auto"/>
      </w:divBdr>
      <w:divsChild>
        <w:div w:id="1178544118">
          <w:marLeft w:val="547"/>
          <w:marRight w:val="0"/>
          <w:marTop w:val="77"/>
          <w:marBottom w:val="0"/>
          <w:divBdr>
            <w:top w:val="none" w:sz="0" w:space="0" w:color="auto"/>
            <w:left w:val="none" w:sz="0" w:space="0" w:color="auto"/>
            <w:bottom w:val="none" w:sz="0" w:space="0" w:color="auto"/>
            <w:right w:val="none" w:sz="0" w:space="0" w:color="auto"/>
          </w:divBdr>
        </w:div>
      </w:divsChild>
    </w:div>
    <w:div w:id="1178544109">
      <w:marLeft w:val="0"/>
      <w:marRight w:val="0"/>
      <w:marTop w:val="0"/>
      <w:marBottom w:val="0"/>
      <w:divBdr>
        <w:top w:val="none" w:sz="0" w:space="0" w:color="auto"/>
        <w:left w:val="none" w:sz="0" w:space="0" w:color="auto"/>
        <w:bottom w:val="none" w:sz="0" w:space="0" w:color="auto"/>
        <w:right w:val="none" w:sz="0" w:space="0" w:color="auto"/>
      </w:divBdr>
    </w:div>
    <w:div w:id="1178544110">
      <w:marLeft w:val="0"/>
      <w:marRight w:val="0"/>
      <w:marTop w:val="0"/>
      <w:marBottom w:val="0"/>
      <w:divBdr>
        <w:top w:val="none" w:sz="0" w:space="0" w:color="auto"/>
        <w:left w:val="none" w:sz="0" w:space="0" w:color="auto"/>
        <w:bottom w:val="none" w:sz="0" w:space="0" w:color="auto"/>
        <w:right w:val="none" w:sz="0" w:space="0" w:color="auto"/>
      </w:divBdr>
      <w:divsChild>
        <w:div w:id="1178544121">
          <w:marLeft w:val="0"/>
          <w:marRight w:val="0"/>
          <w:marTop w:val="0"/>
          <w:marBottom w:val="0"/>
          <w:divBdr>
            <w:top w:val="none" w:sz="0" w:space="0" w:color="auto"/>
            <w:left w:val="none" w:sz="0" w:space="0" w:color="auto"/>
            <w:bottom w:val="none" w:sz="0" w:space="0" w:color="auto"/>
            <w:right w:val="none" w:sz="0" w:space="0" w:color="auto"/>
          </w:divBdr>
        </w:div>
      </w:divsChild>
    </w:div>
    <w:div w:id="1178544111">
      <w:marLeft w:val="0"/>
      <w:marRight w:val="0"/>
      <w:marTop w:val="0"/>
      <w:marBottom w:val="0"/>
      <w:divBdr>
        <w:top w:val="none" w:sz="0" w:space="0" w:color="auto"/>
        <w:left w:val="none" w:sz="0" w:space="0" w:color="auto"/>
        <w:bottom w:val="none" w:sz="0" w:space="0" w:color="auto"/>
        <w:right w:val="none" w:sz="0" w:space="0" w:color="auto"/>
      </w:divBdr>
    </w:div>
    <w:div w:id="1178544112">
      <w:marLeft w:val="0"/>
      <w:marRight w:val="0"/>
      <w:marTop w:val="0"/>
      <w:marBottom w:val="0"/>
      <w:divBdr>
        <w:top w:val="none" w:sz="0" w:space="0" w:color="auto"/>
        <w:left w:val="none" w:sz="0" w:space="0" w:color="auto"/>
        <w:bottom w:val="none" w:sz="0" w:space="0" w:color="auto"/>
        <w:right w:val="none" w:sz="0" w:space="0" w:color="auto"/>
      </w:divBdr>
    </w:div>
    <w:div w:id="1178544114">
      <w:marLeft w:val="0"/>
      <w:marRight w:val="0"/>
      <w:marTop w:val="0"/>
      <w:marBottom w:val="0"/>
      <w:divBdr>
        <w:top w:val="none" w:sz="0" w:space="0" w:color="auto"/>
        <w:left w:val="none" w:sz="0" w:space="0" w:color="auto"/>
        <w:bottom w:val="none" w:sz="0" w:space="0" w:color="auto"/>
        <w:right w:val="none" w:sz="0" w:space="0" w:color="auto"/>
      </w:divBdr>
    </w:div>
    <w:div w:id="1178544115">
      <w:marLeft w:val="0"/>
      <w:marRight w:val="0"/>
      <w:marTop w:val="0"/>
      <w:marBottom w:val="0"/>
      <w:divBdr>
        <w:top w:val="none" w:sz="0" w:space="0" w:color="auto"/>
        <w:left w:val="none" w:sz="0" w:space="0" w:color="auto"/>
        <w:bottom w:val="none" w:sz="0" w:space="0" w:color="auto"/>
        <w:right w:val="none" w:sz="0" w:space="0" w:color="auto"/>
      </w:divBdr>
    </w:div>
    <w:div w:id="1178544116">
      <w:marLeft w:val="0"/>
      <w:marRight w:val="0"/>
      <w:marTop w:val="0"/>
      <w:marBottom w:val="0"/>
      <w:divBdr>
        <w:top w:val="none" w:sz="0" w:space="0" w:color="auto"/>
        <w:left w:val="none" w:sz="0" w:space="0" w:color="auto"/>
        <w:bottom w:val="none" w:sz="0" w:space="0" w:color="auto"/>
        <w:right w:val="none" w:sz="0" w:space="0" w:color="auto"/>
      </w:divBdr>
    </w:div>
    <w:div w:id="1178544117">
      <w:marLeft w:val="0"/>
      <w:marRight w:val="0"/>
      <w:marTop w:val="0"/>
      <w:marBottom w:val="0"/>
      <w:divBdr>
        <w:top w:val="none" w:sz="0" w:space="0" w:color="auto"/>
        <w:left w:val="none" w:sz="0" w:space="0" w:color="auto"/>
        <w:bottom w:val="none" w:sz="0" w:space="0" w:color="auto"/>
        <w:right w:val="none" w:sz="0" w:space="0" w:color="auto"/>
      </w:divBdr>
    </w:div>
    <w:div w:id="1178544119">
      <w:marLeft w:val="0"/>
      <w:marRight w:val="0"/>
      <w:marTop w:val="0"/>
      <w:marBottom w:val="0"/>
      <w:divBdr>
        <w:top w:val="none" w:sz="0" w:space="0" w:color="auto"/>
        <w:left w:val="none" w:sz="0" w:space="0" w:color="auto"/>
        <w:bottom w:val="none" w:sz="0" w:space="0" w:color="auto"/>
        <w:right w:val="none" w:sz="0" w:space="0" w:color="auto"/>
      </w:divBdr>
      <w:divsChild>
        <w:div w:id="1178544124">
          <w:marLeft w:val="0"/>
          <w:marRight w:val="0"/>
          <w:marTop w:val="0"/>
          <w:marBottom w:val="0"/>
          <w:divBdr>
            <w:top w:val="none" w:sz="0" w:space="0" w:color="auto"/>
            <w:left w:val="none" w:sz="0" w:space="0" w:color="auto"/>
            <w:bottom w:val="none" w:sz="0" w:space="0" w:color="auto"/>
            <w:right w:val="none" w:sz="0" w:space="0" w:color="auto"/>
          </w:divBdr>
        </w:div>
      </w:divsChild>
    </w:div>
    <w:div w:id="1178544120">
      <w:marLeft w:val="0"/>
      <w:marRight w:val="0"/>
      <w:marTop w:val="0"/>
      <w:marBottom w:val="0"/>
      <w:divBdr>
        <w:top w:val="none" w:sz="0" w:space="0" w:color="auto"/>
        <w:left w:val="none" w:sz="0" w:space="0" w:color="auto"/>
        <w:bottom w:val="none" w:sz="0" w:space="0" w:color="auto"/>
        <w:right w:val="none" w:sz="0" w:space="0" w:color="auto"/>
      </w:divBdr>
    </w:div>
    <w:div w:id="1178544122">
      <w:marLeft w:val="0"/>
      <w:marRight w:val="0"/>
      <w:marTop w:val="0"/>
      <w:marBottom w:val="0"/>
      <w:divBdr>
        <w:top w:val="none" w:sz="0" w:space="0" w:color="auto"/>
        <w:left w:val="none" w:sz="0" w:space="0" w:color="auto"/>
        <w:bottom w:val="none" w:sz="0" w:space="0" w:color="auto"/>
        <w:right w:val="none" w:sz="0" w:space="0" w:color="auto"/>
      </w:divBdr>
      <w:divsChild>
        <w:div w:id="1178544113">
          <w:marLeft w:val="0"/>
          <w:marRight w:val="0"/>
          <w:marTop w:val="0"/>
          <w:marBottom w:val="0"/>
          <w:divBdr>
            <w:top w:val="none" w:sz="0" w:space="0" w:color="auto"/>
            <w:left w:val="none" w:sz="0" w:space="0" w:color="auto"/>
            <w:bottom w:val="none" w:sz="0" w:space="0" w:color="auto"/>
            <w:right w:val="none" w:sz="0" w:space="0" w:color="auto"/>
          </w:divBdr>
        </w:div>
      </w:divsChild>
    </w:div>
    <w:div w:id="1178544123">
      <w:marLeft w:val="0"/>
      <w:marRight w:val="0"/>
      <w:marTop w:val="0"/>
      <w:marBottom w:val="0"/>
      <w:divBdr>
        <w:top w:val="none" w:sz="0" w:space="0" w:color="auto"/>
        <w:left w:val="none" w:sz="0" w:space="0" w:color="auto"/>
        <w:bottom w:val="none" w:sz="0" w:space="0" w:color="auto"/>
        <w:right w:val="none" w:sz="0" w:space="0" w:color="auto"/>
      </w:divBdr>
    </w:div>
    <w:div w:id="1178544125">
      <w:marLeft w:val="0"/>
      <w:marRight w:val="0"/>
      <w:marTop w:val="0"/>
      <w:marBottom w:val="0"/>
      <w:divBdr>
        <w:top w:val="none" w:sz="0" w:space="0" w:color="auto"/>
        <w:left w:val="none" w:sz="0" w:space="0" w:color="auto"/>
        <w:bottom w:val="none" w:sz="0" w:space="0" w:color="auto"/>
        <w:right w:val="none" w:sz="0" w:space="0" w:color="auto"/>
      </w:divBdr>
    </w:div>
    <w:div w:id="1178544126">
      <w:marLeft w:val="0"/>
      <w:marRight w:val="0"/>
      <w:marTop w:val="0"/>
      <w:marBottom w:val="0"/>
      <w:divBdr>
        <w:top w:val="none" w:sz="0" w:space="0" w:color="auto"/>
        <w:left w:val="none" w:sz="0" w:space="0" w:color="auto"/>
        <w:bottom w:val="none" w:sz="0" w:space="0" w:color="auto"/>
        <w:right w:val="none" w:sz="0" w:space="0" w:color="auto"/>
      </w:divBdr>
    </w:div>
    <w:div w:id="1178544127">
      <w:marLeft w:val="0"/>
      <w:marRight w:val="0"/>
      <w:marTop w:val="0"/>
      <w:marBottom w:val="0"/>
      <w:divBdr>
        <w:top w:val="none" w:sz="0" w:space="0" w:color="auto"/>
        <w:left w:val="none" w:sz="0" w:space="0" w:color="auto"/>
        <w:bottom w:val="none" w:sz="0" w:space="0" w:color="auto"/>
        <w:right w:val="none" w:sz="0" w:space="0" w:color="auto"/>
      </w:divBdr>
    </w:div>
    <w:div w:id="1178544128">
      <w:marLeft w:val="0"/>
      <w:marRight w:val="0"/>
      <w:marTop w:val="0"/>
      <w:marBottom w:val="0"/>
      <w:divBdr>
        <w:top w:val="none" w:sz="0" w:space="0" w:color="auto"/>
        <w:left w:val="none" w:sz="0" w:space="0" w:color="auto"/>
        <w:bottom w:val="none" w:sz="0" w:space="0" w:color="auto"/>
        <w:right w:val="none" w:sz="0" w:space="0" w:color="auto"/>
      </w:divBdr>
    </w:div>
    <w:div w:id="1178544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imegsevee.gr"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www.imegsevee.gr" TargetMode="Externa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38"/>
      <c:rotY val="20"/>
      <c:depthPercent val="6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23255797939110562"/>
          <c:y val="4.0803999434527255E-2"/>
          <c:w val="0.68369018602248943"/>
          <c:h val="0.89088625001606458"/>
        </c:manualLayout>
      </c:layout>
      <c:bar3DChart>
        <c:barDir val="bar"/>
        <c:grouping val="stacked"/>
        <c:varyColors val="0"/>
        <c:ser>
          <c:idx val="1"/>
          <c:order val="0"/>
          <c:tx>
            <c:strRef>
              <c:f>Sheet1!$A$2</c:f>
              <c:strCache>
                <c:ptCount val="1"/>
                <c:pt idx="0">
                  <c:v>Αύξηση</c:v>
                </c:pt>
              </c:strCache>
            </c:strRef>
          </c:tx>
          <c:spPr>
            <a:gradFill rotWithShape="0">
              <a:gsLst>
                <a:gs pos="0">
                  <a:srgbClr xmlns:mc="http://schemas.openxmlformats.org/markup-compatibility/2006" xmlns:a14="http://schemas.microsoft.com/office/drawing/2010/main" val="008000" mc:Ignorable="a14" a14:legacySpreadsheetColorIndex="17"/>
                </a:gs>
                <a:gs pos="100000">
                  <a:srgbClr xmlns:mc="http://schemas.openxmlformats.org/markup-compatibility/2006" xmlns:a14="http://schemas.microsoft.com/office/drawing/2010/main" val="FEFEFE" mc:Ignorable="a14" a14:legacySpreadsheetColorIndex="17">
                    <a:gamma/>
                    <a:tint val="63922"/>
                    <a:invGamma/>
                  </a:srgbClr>
                </a:gs>
              </a:gsLst>
              <a:lin ang="2700000" scaled="1"/>
            </a:gradFill>
            <a:ln w="25400">
              <a:noFill/>
            </a:ln>
          </c:spPr>
          <c:invertIfNegative val="0"/>
          <c:dLbls>
            <c:dLbl>
              <c:idx val="0"/>
              <c:layout>
                <c:manualLayout>
                  <c:x val="4.6191787067640612E-3"/>
                  <c:y val="3.5359571736176586E-3"/>
                </c:manualLayout>
              </c:layout>
              <c:showLegendKey val="0"/>
              <c:showVal val="1"/>
              <c:showCatName val="0"/>
              <c:showSerName val="0"/>
              <c:showPercent val="0"/>
              <c:showBubbleSize val="0"/>
            </c:dLbl>
            <c:dLbl>
              <c:idx val="1"/>
              <c:layout>
                <c:manualLayout>
                  <c:x val="-3.7808766001539967E-3"/>
                  <c:y val="-1.2080554163293108E-3"/>
                </c:manualLayout>
              </c:layout>
              <c:showLegendKey val="0"/>
              <c:showVal val="1"/>
              <c:showCatName val="0"/>
              <c:showSerName val="0"/>
              <c:showPercent val="0"/>
              <c:showBubbleSize val="0"/>
            </c:dLbl>
            <c:dLbl>
              <c:idx val="2"/>
              <c:layout>
                <c:manualLayout>
                  <c:x val="1.5603720578162116E-3"/>
                  <c:y val="2.027481081689907E-2"/>
                </c:manualLayout>
              </c:layout>
              <c:showLegendKey val="0"/>
              <c:showVal val="1"/>
              <c:showCatName val="0"/>
              <c:showSerName val="0"/>
              <c:showPercent val="0"/>
              <c:showBubbleSize val="0"/>
            </c:dLbl>
            <c:dLbl>
              <c:idx val="3"/>
              <c:layout>
                <c:manualLayout>
                  <c:x val="2.3280562008505317E-3"/>
                  <c:y val="-1.5607940178451941E-2"/>
                </c:manualLayout>
              </c:layout>
              <c:showLegendKey val="0"/>
              <c:showVal val="1"/>
              <c:showCatName val="0"/>
              <c:showSerName val="0"/>
              <c:showPercent val="0"/>
              <c:showBubbleSize val="0"/>
            </c:dLbl>
            <c:dLbl>
              <c:idx val="4"/>
              <c:layout>
                <c:manualLayout>
                  <c:x val="6.229095679337303E-3"/>
                  <c:y val="-9.7456452597977083E-3"/>
                </c:manualLayout>
              </c:layout>
              <c:showLegendKey val="0"/>
              <c:showVal val="1"/>
              <c:showCatName val="0"/>
              <c:showSerName val="0"/>
              <c:showPercent val="0"/>
              <c:showBubbleSize val="0"/>
            </c:dLbl>
            <c:dLbl>
              <c:idx val="5"/>
              <c:layout>
                <c:manualLayout>
                  <c:x val="0"/>
                  <c:y val="3.7097476606333005E-3"/>
                </c:manualLayout>
              </c:layout>
              <c:showLegendKey val="0"/>
              <c:showVal val="1"/>
              <c:showCatName val="0"/>
              <c:showSerName val="0"/>
              <c:showPercent val="0"/>
              <c:showBubbleSize val="0"/>
            </c:dLbl>
            <c:numFmt formatCode="0.0" sourceLinked="0"/>
            <c:spPr>
              <a:noFill/>
              <a:ln w="25400">
                <a:noFill/>
              </a:ln>
            </c:spPr>
            <c:txPr>
              <a:bodyPr/>
              <a:lstStyle/>
              <a:p>
                <a:pPr>
                  <a:defRPr sz="800" b="1" i="0" u="none" strike="noStrike" baseline="0">
                    <a:solidFill>
                      <a:srgbClr val="000000"/>
                    </a:solidFill>
                    <a:latin typeface="Tahoma"/>
                    <a:ea typeface="Tahoma"/>
                    <a:cs typeface="Tahoma"/>
                  </a:defRPr>
                </a:pPr>
                <a:endParaRPr lang="el-GR"/>
              </a:p>
            </c:txPr>
            <c:showLegendKey val="0"/>
            <c:showVal val="1"/>
            <c:showCatName val="0"/>
            <c:showSerName val="0"/>
            <c:showPercent val="0"/>
            <c:showBubbleSize val="0"/>
            <c:showLeaderLines val="0"/>
          </c:dLbls>
          <c:cat>
            <c:strRef>
              <c:f>Sheet1!$B$1:$G$1</c:f>
              <c:strCache>
                <c:ptCount val="6"/>
                <c:pt idx="0">
                  <c:v>ΚΥΚΛΟΣ ΕΡΓΑΣΙΩΝ</c:v>
                </c:pt>
                <c:pt idx="1">
                  <c:v>ΖΗΤΗΣΗ</c:v>
                </c:pt>
                <c:pt idx="2">
                  <c:v>ΡΕΥΣΤΟΤΗΤΑ</c:v>
                </c:pt>
                <c:pt idx="3">
                  <c:v>ΠΑΡΑΓΓΕΛΙΕΣ</c:v>
                </c:pt>
                <c:pt idx="4">
                  <c:v>ΕΠΕΝΔΥΣΕΙΣ</c:v>
                </c:pt>
                <c:pt idx="5">
                  <c:v>ΑΠΑΣΧΟΛΗΣΗ</c:v>
                </c:pt>
              </c:strCache>
            </c:strRef>
          </c:cat>
          <c:val>
            <c:numRef>
              <c:f>Sheet1!$B$2:$G$2</c:f>
              <c:numCache>
                <c:formatCode>General</c:formatCode>
                <c:ptCount val="6"/>
                <c:pt idx="0">
                  <c:v>18.8</c:v>
                </c:pt>
                <c:pt idx="1">
                  <c:v>19.2</c:v>
                </c:pt>
                <c:pt idx="2">
                  <c:v>12</c:v>
                </c:pt>
                <c:pt idx="3">
                  <c:v>13.3</c:v>
                </c:pt>
                <c:pt idx="4">
                  <c:v>12.1</c:v>
                </c:pt>
                <c:pt idx="5">
                  <c:v>5.2</c:v>
                </c:pt>
              </c:numCache>
            </c:numRef>
          </c:val>
        </c:ser>
        <c:ser>
          <c:idx val="0"/>
          <c:order val="1"/>
          <c:tx>
            <c:strRef>
              <c:f>Sheet1!$A$3</c:f>
              <c:strCache>
                <c:ptCount val="1"/>
                <c:pt idx="0">
                  <c:v>Μείωση</c:v>
                </c:pt>
              </c:strCache>
            </c:strRef>
          </c:tx>
          <c:spPr>
            <a:gradFill rotWithShape="0">
              <a:gsLst>
                <a:gs pos="0">
                  <a:srgbClr xmlns:mc="http://schemas.openxmlformats.org/markup-compatibility/2006" xmlns:a14="http://schemas.microsoft.com/office/drawing/2010/main" val="020000" mc:Ignorable="a14" a14:legacySpreadsheetColorIndex="10">
                    <a:gamma/>
                    <a:shade val="76078"/>
                    <a:invGamma/>
                  </a:srgbClr>
                </a:gs>
                <a:gs pos="100000">
                  <a:srgbClr xmlns:mc="http://schemas.openxmlformats.org/markup-compatibility/2006" xmlns:a14="http://schemas.microsoft.com/office/drawing/2010/main" val="FF0000" mc:Ignorable="a14" a14:legacySpreadsheetColorIndex="10"/>
                </a:gs>
              </a:gsLst>
              <a:lin ang="2700000" scaled="1"/>
            </a:gradFill>
            <a:ln w="25400">
              <a:noFill/>
            </a:ln>
          </c:spPr>
          <c:invertIfNegative val="0"/>
          <c:dLbls>
            <c:dLbl>
              <c:idx val="5"/>
              <c:layout>
                <c:manualLayout>
                  <c:x val="2.3014346636290144E-2"/>
                  <c:y val="0"/>
                </c:manualLayout>
              </c:layout>
              <c:showLegendKey val="0"/>
              <c:showVal val="1"/>
              <c:showCatName val="0"/>
              <c:showSerName val="0"/>
              <c:showPercent val="0"/>
              <c:showBubbleSize val="0"/>
            </c:dLbl>
            <c:numFmt formatCode="0.0" sourceLinked="0"/>
            <c:spPr>
              <a:noFill/>
              <a:ln w="25400">
                <a:noFill/>
              </a:ln>
            </c:spPr>
            <c:txPr>
              <a:bodyPr/>
              <a:lstStyle/>
              <a:p>
                <a:pPr>
                  <a:defRPr sz="800" b="1" i="0" u="none" strike="noStrike" baseline="0">
                    <a:solidFill>
                      <a:srgbClr val="000000"/>
                    </a:solidFill>
                    <a:latin typeface="Tahoma"/>
                    <a:ea typeface="Tahoma"/>
                    <a:cs typeface="Tahoma"/>
                  </a:defRPr>
                </a:pPr>
                <a:endParaRPr lang="el-GR"/>
              </a:p>
            </c:txPr>
            <c:showLegendKey val="0"/>
            <c:showVal val="1"/>
            <c:showCatName val="0"/>
            <c:showSerName val="0"/>
            <c:showPercent val="0"/>
            <c:showBubbleSize val="0"/>
            <c:showLeaderLines val="0"/>
          </c:dLbls>
          <c:cat>
            <c:strRef>
              <c:f>Sheet1!$B$1:$G$1</c:f>
              <c:strCache>
                <c:ptCount val="6"/>
                <c:pt idx="0">
                  <c:v>ΚΥΚΛΟΣ ΕΡΓΑΣΙΩΝ</c:v>
                </c:pt>
                <c:pt idx="1">
                  <c:v>ΖΗΤΗΣΗ</c:v>
                </c:pt>
                <c:pt idx="2">
                  <c:v>ΡΕΥΣΤΟΤΗΤΑ</c:v>
                </c:pt>
                <c:pt idx="3">
                  <c:v>ΠΑΡΑΓΓΕΛΙΕΣ</c:v>
                </c:pt>
                <c:pt idx="4">
                  <c:v>ΕΠΕΝΔΥΣΕΙΣ</c:v>
                </c:pt>
                <c:pt idx="5">
                  <c:v>ΑΠΑΣΧΟΛΗΣΗ</c:v>
                </c:pt>
              </c:strCache>
            </c:strRef>
          </c:cat>
          <c:val>
            <c:numRef>
              <c:f>Sheet1!$B$3:$G$3</c:f>
              <c:numCache>
                <c:formatCode>General</c:formatCode>
                <c:ptCount val="6"/>
                <c:pt idx="0">
                  <c:v>53.2</c:v>
                </c:pt>
                <c:pt idx="1">
                  <c:v>55.2</c:v>
                </c:pt>
                <c:pt idx="2">
                  <c:v>62.4</c:v>
                </c:pt>
                <c:pt idx="3">
                  <c:v>58.9</c:v>
                </c:pt>
                <c:pt idx="4">
                  <c:v>38.6</c:v>
                </c:pt>
                <c:pt idx="5">
                  <c:v>9.6</c:v>
                </c:pt>
              </c:numCache>
            </c:numRef>
          </c:val>
        </c:ser>
        <c:ser>
          <c:idx val="2"/>
          <c:order val="2"/>
          <c:tx>
            <c:strRef>
              <c:f>Sheet1!$A$4</c:f>
              <c:strCache>
                <c:ptCount val="1"/>
                <c:pt idx="0">
                  <c:v>Χωρίς μεταβολή</c:v>
                </c:pt>
              </c:strCache>
            </c:strRef>
          </c:tx>
          <c:spPr>
            <a:gradFill rotWithShape="0">
              <a:gsLst>
                <a:gs pos="0">
                  <a:srgbClr xmlns:mc="http://schemas.openxmlformats.org/markup-compatibility/2006" xmlns:a14="http://schemas.microsoft.com/office/drawing/2010/main" val="C0C0C0" mc:Ignorable="a14" a14:legacySpreadsheetColorIndex="22"/>
                </a:gs>
                <a:gs pos="100000">
                  <a:srgbClr xmlns:mc="http://schemas.openxmlformats.org/markup-compatibility/2006" xmlns:a14="http://schemas.microsoft.com/office/drawing/2010/main" val="FFFFFF" mc:Ignorable="a14" a14:legacySpreadsheetColorIndex="22">
                    <a:gamma/>
                    <a:tint val="33725"/>
                    <a:invGamma/>
                  </a:srgbClr>
                </a:gs>
              </a:gsLst>
              <a:lin ang="2700000" scaled="1"/>
            </a:gradFill>
            <a:ln w="25400">
              <a:noFill/>
            </a:ln>
          </c:spPr>
          <c:invertIfNegative val="0"/>
          <c:dLbls>
            <c:dLbl>
              <c:idx val="0"/>
              <c:layout>
                <c:manualLayout>
                  <c:x val="-2.9448396851419839E-2"/>
                  <c:y val="5.7829536204140391E-3"/>
                </c:manualLayout>
              </c:layout>
              <c:showLegendKey val="0"/>
              <c:showVal val="1"/>
              <c:showCatName val="0"/>
              <c:showSerName val="0"/>
              <c:showPercent val="0"/>
              <c:showBubbleSize val="0"/>
            </c:dLbl>
            <c:dLbl>
              <c:idx val="3"/>
              <c:layout>
                <c:manualLayout>
                  <c:x val="-1.040747351920565E-3"/>
                  <c:y val="8.1141359834194342E-3"/>
                </c:manualLayout>
              </c:layout>
              <c:showLegendKey val="0"/>
              <c:showVal val="1"/>
              <c:showCatName val="0"/>
              <c:showSerName val="0"/>
              <c:showPercent val="0"/>
              <c:showBubbleSize val="0"/>
            </c:dLbl>
            <c:spPr>
              <a:noFill/>
              <a:ln w="25400">
                <a:noFill/>
              </a:ln>
            </c:spPr>
            <c:txPr>
              <a:bodyPr/>
              <a:lstStyle/>
              <a:p>
                <a:pPr>
                  <a:defRPr sz="800" b="1" i="0" u="none" strike="noStrike" baseline="0">
                    <a:solidFill>
                      <a:srgbClr val="000000"/>
                    </a:solidFill>
                    <a:latin typeface="Tahoma"/>
                    <a:ea typeface="Tahoma"/>
                    <a:cs typeface="Tahoma"/>
                  </a:defRPr>
                </a:pPr>
                <a:endParaRPr lang="el-GR"/>
              </a:p>
            </c:txPr>
            <c:showLegendKey val="0"/>
            <c:showVal val="1"/>
            <c:showCatName val="0"/>
            <c:showSerName val="0"/>
            <c:showPercent val="0"/>
            <c:showBubbleSize val="0"/>
            <c:showLeaderLines val="0"/>
          </c:dLbls>
          <c:cat>
            <c:strRef>
              <c:f>Sheet1!$B$1:$G$1</c:f>
              <c:strCache>
                <c:ptCount val="6"/>
                <c:pt idx="0">
                  <c:v>ΚΥΚΛΟΣ ΕΡΓΑΣΙΩΝ</c:v>
                </c:pt>
                <c:pt idx="1">
                  <c:v>ΖΗΤΗΣΗ</c:v>
                </c:pt>
                <c:pt idx="2">
                  <c:v>ΡΕΥΣΤΟΤΗΤΑ</c:v>
                </c:pt>
                <c:pt idx="3">
                  <c:v>ΠΑΡΑΓΓΕΛΙΕΣ</c:v>
                </c:pt>
                <c:pt idx="4">
                  <c:v>ΕΠΕΝΔΥΣΕΙΣ</c:v>
                </c:pt>
                <c:pt idx="5">
                  <c:v>ΑΠΑΣΧΟΛΗΣΗ</c:v>
                </c:pt>
              </c:strCache>
            </c:strRef>
          </c:cat>
          <c:val>
            <c:numRef>
              <c:f>Sheet1!$B$4:$G$4</c:f>
              <c:numCache>
                <c:formatCode>General</c:formatCode>
                <c:ptCount val="6"/>
                <c:pt idx="0">
                  <c:v>27.6</c:v>
                </c:pt>
                <c:pt idx="1">
                  <c:v>25.4</c:v>
                </c:pt>
                <c:pt idx="2">
                  <c:v>25.2</c:v>
                </c:pt>
                <c:pt idx="3">
                  <c:v>25</c:v>
                </c:pt>
                <c:pt idx="4">
                  <c:v>45.4</c:v>
                </c:pt>
                <c:pt idx="5">
                  <c:v>84.2</c:v>
                </c:pt>
              </c:numCache>
            </c:numRef>
          </c:val>
        </c:ser>
        <c:ser>
          <c:idx val="3"/>
          <c:order val="3"/>
          <c:tx>
            <c:strRef>
              <c:f>Sheet1!$A$5</c:f>
              <c:strCache>
                <c:ptCount val="1"/>
                <c:pt idx="0">
                  <c:v>ΔΑ</c:v>
                </c:pt>
              </c:strCache>
            </c:strRef>
          </c:tx>
          <c:spPr>
            <a:gradFill rotWithShape="0">
              <a:gsLst>
                <a:gs pos="0">
                  <a:srgbClr val="D1C39F"/>
                </a:gs>
                <a:gs pos="35001">
                  <a:srgbClr val="F0EBD5"/>
                </a:gs>
                <a:gs pos="100000">
                  <a:srgbClr val="FFEFD1"/>
                </a:gs>
              </a:gsLst>
              <a:lin ang="2700000" scaled="1"/>
            </a:gradFill>
            <a:ln w="25400">
              <a:noFill/>
            </a:ln>
          </c:spPr>
          <c:invertIfNegative val="0"/>
          <c:dLbls>
            <c:dLbl>
              <c:idx val="0"/>
              <c:layout>
                <c:manualLayout>
                  <c:x val="1.4332501494573331E-2"/>
                  <c:y val="-2.1587863128683352E-3"/>
                </c:manualLayout>
              </c:layout>
              <c:showLegendKey val="0"/>
              <c:showVal val="1"/>
              <c:showCatName val="0"/>
              <c:showSerName val="0"/>
              <c:showPercent val="0"/>
              <c:showBubbleSize val="0"/>
            </c:dLbl>
            <c:dLbl>
              <c:idx val="1"/>
              <c:layout>
                <c:manualLayout>
                  <c:x val="1.5983735561895272E-2"/>
                  <c:y val="8.4572666336223297E-3"/>
                </c:manualLayout>
              </c:layout>
              <c:showLegendKey val="0"/>
              <c:showVal val="1"/>
              <c:showCatName val="0"/>
              <c:showSerName val="0"/>
              <c:showPercent val="0"/>
              <c:showBubbleSize val="0"/>
            </c:dLbl>
            <c:spPr>
              <a:noFill/>
              <a:ln w="25400">
                <a:noFill/>
              </a:ln>
            </c:spPr>
            <c:txPr>
              <a:bodyPr/>
              <a:lstStyle/>
              <a:p>
                <a:pPr>
                  <a:defRPr sz="800" b="1" i="0" u="none" strike="noStrike" baseline="0">
                    <a:solidFill>
                      <a:srgbClr val="000000"/>
                    </a:solidFill>
                    <a:latin typeface="Tahoma"/>
                    <a:ea typeface="Tahoma"/>
                    <a:cs typeface="Tahoma"/>
                  </a:defRPr>
                </a:pPr>
                <a:endParaRPr lang="el-GR"/>
              </a:p>
            </c:txPr>
            <c:showLegendKey val="0"/>
            <c:showVal val="1"/>
            <c:showCatName val="0"/>
            <c:showSerName val="0"/>
            <c:showPercent val="0"/>
            <c:showBubbleSize val="0"/>
            <c:showLeaderLines val="0"/>
          </c:dLbls>
          <c:cat>
            <c:strRef>
              <c:f>Sheet1!$B$1:$G$1</c:f>
              <c:strCache>
                <c:ptCount val="6"/>
                <c:pt idx="0">
                  <c:v>ΚΥΚΛΟΣ ΕΡΓΑΣΙΩΝ</c:v>
                </c:pt>
                <c:pt idx="1">
                  <c:v>ΖΗΤΗΣΗ</c:v>
                </c:pt>
                <c:pt idx="2">
                  <c:v>ΡΕΥΣΤΟΤΗΤΑ</c:v>
                </c:pt>
                <c:pt idx="3">
                  <c:v>ΠΑΡΑΓΓΕΛΙΕΣ</c:v>
                </c:pt>
                <c:pt idx="4">
                  <c:v>ΕΠΕΝΔΥΣΕΙΣ</c:v>
                </c:pt>
                <c:pt idx="5">
                  <c:v>ΑΠΑΣΧΟΛΗΣΗ</c:v>
                </c:pt>
              </c:strCache>
            </c:strRef>
          </c:cat>
          <c:val>
            <c:numRef>
              <c:f>Sheet1!$B$5:$G$5</c:f>
              <c:numCache>
                <c:formatCode>General</c:formatCode>
                <c:ptCount val="6"/>
                <c:pt idx="0">
                  <c:v>0.4</c:v>
                </c:pt>
                <c:pt idx="1">
                  <c:v>0.2</c:v>
                </c:pt>
                <c:pt idx="2">
                  <c:v>0.4</c:v>
                </c:pt>
                <c:pt idx="3">
                  <c:v>2.9</c:v>
                </c:pt>
                <c:pt idx="4">
                  <c:v>4</c:v>
                </c:pt>
                <c:pt idx="5">
                  <c:v>0.3</c:v>
                </c:pt>
              </c:numCache>
            </c:numRef>
          </c:val>
        </c:ser>
        <c:dLbls>
          <c:showLegendKey val="0"/>
          <c:showVal val="1"/>
          <c:showCatName val="0"/>
          <c:showSerName val="0"/>
          <c:showPercent val="0"/>
          <c:showBubbleSize val="0"/>
        </c:dLbls>
        <c:gapWidth val="70"/>
        <c:gapDepth val="0"/>
        <c:shape val="box"/>
        <c:axId val="44793216"/>
        <c:axId val="70726784"/>
        <c:axId val="0"/>
      </c:bar3DChart>
      <c:catAx>
        <c:axId val="44793216"/>
        <c:scaling>
          <c:orientation val="maxMin"/>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ahoma"/>
                <a:ea typeface="Tahoma"/>
                <a:cs typeface="Tahoma"/>
              </a:defRPr>
            </a:pPr>
            <a:endParaRPr lang="el-GR"/>
          </a:p>
        </c:txPr>
        <c:crossAx val="70726784"/>
        <c:crosses val="autoZero"/>
        <c:auto val="1"/>
        <c:lblAlgn val="ctr"/>
        <c:lblOffset val="100"/>
        <c:tickLblSkip val="1"/>
        <c:tickMarkSkip val="1"/>
        <c:noMultiLvlLbl val="0"/>
      </c:catAx>
      <c:valAx>
        <c:axId val="70726784"/>
        <c:scaling>
          <c:orientation val="minMax"/>
          <c:max val="100"/>
          <c:min val="0"/>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1" i="0" u="none" strike="noStrike" baseline="0">
                <a:solidFill>
                  <a:srgbClr val="000000"/>
                </a:solidFill>
                <a:latin typeface="Times New Roman"/>
                <a:ea typeface="Times New Roman"/>
                <a:cs typeface="Times New Roman"/>
              </a:defRPr>
            </a:pPr>
            <a:endParaRPr lang="el-GR"/>
          </a:p>
        </c:txPr>
        <c:crossAx val="44793216"/>
        <c:crosses val="max"/>
        <c:crossBetween val="between"/>
      </c:valAx>
      <c:spPr>
        <a:noFill/>
        <a:ln w="25400">
          <a:noFill/>
        </a:ln>
      </c:spPr>
    </c:plotArea>
    <c:legend>
      <c:legendPos val="r"/>
      <c:layout>
        <c:manualLayout>
          <c:xMode val="edge"/>
          <c:yMode val="edge"/>
          <c:x val="0.18726591760299627"/>
          <c:y val="4.4827586206896551E-2"/>
          <c:w val="0.797752808988764"/>
          <c:h val="3.1034482758620689E-2"/>
        </c:manualLayout>
      </c:layout>
      <c:overlay val="0"/>
      <c:spPr>
        <a:noFill/>
        <a:ln w="25400">
          <a:noFill/>
        </a:ln>
      </c:spPr>
      <c:txPr>
        <a:bodyPr/>
        <a:lstStyle/>
        <a:p>
          <a:pPr>
            <a:defRPr sz="825" b="1" i="0" u="none" strike="noStrike" baseline="0">
              <a:solidFill>
                <a:srgbClr val="000000"/>
              </a:solidFill>
              <a:latin typeface="Tahoma"/>
              <a:ea typeface="Tahoma"/>
              <a:cs typeface="Tahoma"/>
            </a:defRPr>
          </a:pPr>
          <a:endParaRPr lang="el-GR"/>
        </a:p>
      </c:txPr>
    </c:legend>
    <c:plotVisOnly val="1"/>
    <c:dispBlanksAs val="gap"/>
    <c:showDLblsOverMax val="0"/>
  </c:chart>
  <c:spPr>
    <a:noFill/>
    <a:ln>
      <a:noFill/>
    </a:ln>
  </c:spPr>
  <c:txPr>
    <a:bodyPr/>
    <a:lstStyle/>
    <a:p>
      <a:pPr>
        <a:defRPr sz="2075" b="1" i="0" u="none" strike="noStrike" baseline="0">
          <a:solidFill>
            <a:srgbClr val="000000"/>
          </a:solidFill>
          <a:latin typeface="Times New Roman"/>
          <a:ea typeface="Times New Roman"/>
          <a:cs typeface="Times New Roman"/>
        </a:defRPr>
      </a:pPr>
      <a:endParaRPr lang="el-G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49"/>
      <c:rotY val="20"/>
      <c:depthPercent val="8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39146801936543446"/>
          <c:y val="2.3205503748891456E-3"/>
          <c:w val="0.58015805583448055"/>
          <c:h val="0.86389813341050503"/>
        </c:manualLayout>
      </c:layout>
      <c:bar3DChart>
        <c:barDir val="bar"/>
        <c:grouping val="clustered"/>
        <c:varyColors val="0"/>
        <c:ser>
          <c:idx val="1"/>
          <c:order val="0"/>
          <c:tx>
            <c:strRef>
              <c:f>Sheet1!$A$2</c:f>
              <c:strCache>
                <c:ptCount val="1"/>
              </c:strCache>
            </c:strRef>
          </c:tx>
          <c:spPr>
            <a:gradFill rotWithShape="0">
              <a:gsLst>
                <a:gs pos="0">
                  <a:srgbClr xmlns:mc="http://schemas.openxmlformats.org/markup-compatibility/2006" xmlns:a14="http://schemas.microsoft.com/office/drawing/2010/main" val="4F81BD" mc:Ignorable="a14" a14:legacySpreadsheetColorIndex="24"/>
                </a:gs>
                <a:gs pos="100000">
                  <a:srgbClr xmlns:mc="http://schemas.openxmlformats.org/markup-compatibility/2006" xmlns:a14="http://schemas.microsoft.com/office/drawing/2010/main" val="FEFEFE" mc:Ignorable="a14" a14:legacySpreadsheetColorIndex="24">
                    <a:gamma/>
                    <a:tint val="63922"/>
                    <a:invGamma/>
                  </a:srgbClr>
                </a:gs>
              </a:gsLst>
              <a:lin ang="2700000" scaled="1"/>
            </a:gradFill>
            <a:ln w="25400">
              <a:noFill/>
            </a:ln>
          </c:spPr>
          <c:invertIfNegative val="0"/>
          <c:dPt>
            <c:idx val="9"/>
            <c:invertIfNegative val="0"/>
            <c:bubble3D val="0"/>
            <c:spPr>
              <a:gradFill rotWithShape="0">
                <a:gsLst>
                  <a:gs pos="0">
                    <a:srgbClr xmlns:mc="http://schemas.openxmlformats.org/markup-compatibility/2006" xmlns:a14="http://schemas.microsoft.com/office/drawing/2010/main" val="808080" mc:Ignorable="a14" a14:legacySpreadsheetColorIndex="23"/>
                  </a:gs>
                  <a:gs pos="100000">
                    <a:srgbClr xmlns:mc="http://schemas.openxmlformats.org/markup-compatibility/2006" xmlns:a14="http://schemas.microsoft.com/office/drawing/2010/main" val="FEFEFE" mc:Ignorable="a14" a14:legacySpreadsheetColorIndex="23">
                      <a:gamma/>
                      <a:tint val="63922"/>
                      <a:invGamma/>
                    </a:srgbClr>
                  </a:gs>
                </a:gsLst>
                <a:lin ang="2700000" scaled="1"/>
              </a:gradFill>
              <a:ln w="25400">
                <a:noFill/>
              </a:ln>
            </c:spPr>
          </c:dPt>
          <c:dPt>
            <c:idx val="10"/>
            <c:invertIfNegative val="0"/>
            <c:bubble3D val="0"/>
            <c:spPr>
              <a:gradFill rotWithShape="0">
                <a:gsLst>
                  <a:gs pos="0">
                    <a:srgbClr xmlns:mc="http://schemas.openxmlformats.org/markup-compatibility/2006" xmlns:a14="http://schemas.microsoft.com/office/drawing/2010/main" val="C0C0C0" mc:Ignorable="a14" a14:legacySpreadsheetColorIndex="22"/>
                  </a:gs>
                  <a:gs pos="100000">
                    <a:srgbClr xmlns:mc="http://schemas.openxmlformats.org/markup-compatibility/2006" xmlns:a14="http://schemas.microsoft.com/office/drawing/2010/main" val="FEFEFE" mc:Ignorable="a14" a14:legacySpreadsheetColorIndex="22">
                      <a:gamma/>
                      <a:tint val="63922"/>
                      <a:invGamma/>
                    </a:srgbClr>
                  </a:gs>
                </a:gsLst>
                <a:lin ang="2700000" scaled="1"/>
              </a:gradFill>
              <a:ln w="25400">
                <a:noFill/>
              </a:ln>
            </c:spPr>
          </c:dPt>
          <c:dLbls>
            <c:dLbl>
              <c:idx val="0"/>
              <c:layout>
                <c:manualLayout>
                  <c:x val="3.5142365232572561E-3"/>
                  <c:y val="3.2217740376560949E-5"/>
                </c:manualLayout>
              </c:layout>
              <c:showLegendKey val="0"/>
              <c:showVal val="1"/>
              <c:showCatName val="0"/>
              <c:showSerName val="0"/>
              <c:showPercent val="0"/>
              <c:showBubbleSize val="0"/>
            </c:dLbl>
            <c:dLbl>
              <c:idx val="1"/>
              <c:layout>
                <c:manualLayout>
                  <c:x val="-3.3376653214331636E-3"/>
                  <c:y val="1.4071632516146898E-2"/>
                </c:manualLayout>
              </c:layout>
              <c:showLegendKey val="0"/>
              <c:showVal val="1"/>
              <c:showCatName val="0"/>
              <c:showSerName val="0"/>
              <c:showPercent val="0"/>
              <c:showBubbleSize val="0"/>
            </c:dLbl>
            <c:dLbl>
              <c:idx val="2"/>
              <c:layout>
                <c:manualLayout>
                  <c:x val="1.1982451162058127E-2"/>
                  <c:y val="1.2753539786904184E-2"/>
                </c:manualLayout>
              </c:layout>
              <c:showLegendKey val="0"/>
              <c:showVal val="1"/>
              <c:showCatName val="0"/>
              <c:showSerName val="0"/>
              <c:showPercent val="0"/>
              <c:showBubbleSize val="0"/>
            </c:dLbl>
            <c:dLbl>
              <c:idx val="3"/>
              <c:layout>
                <c:manualLayout>
                  <c:x val="-3.1400708665906317E-3"/>
                  <c:y val="6.9043559670693526E-3"/>
                </c:manualLayout>
              </c:layout>
              <c:showLegendKey val="0"/>
              <c:showVal val="1"/>
              <c:showCatName val="0"/>
              <c:showSerName val="0"/>
              <c:showPercent val="0"/>
              <c:showBubbleSize val="0"/>
            </c:dLbl>
            <c:dLbl>
              <c:idx val="4"/>
              <c:layout>
                <c:manualLayout>
                  <c:x val="6.1643498082105657E-3"/>
                  <c:y val="-3.3068072990260653E-4"/>
                </c:manualLayout>
              </c:layout>
              <c:showLegendKey val="0"/>
              <c:showVal val="1"/>
              <c:showCatName val="0"/>
              <c:showSerName val="0"/>
              <c:showPercent val="0"/>
              <c:showBubbleSize val="0"/>
            </c:dLbl>
            <c:dLbl>
              <c:idx val="5"/>
              <c:layout>
                <c:manualLayout>
                  <c:x val="9.9998164077962914E-3"/>
                  <c:y val="7.067119599060351E-3"/>
                </c:manualLayout>
              </c:layout>
              <c:showLegendKey val="0"/>
              <c:showVal val="1"/>
              <c:showCatName val="0"/>
              <c:showSerName val="0"/>
              <c:showPercent val="0"/>
              <c:showBubbleSize val="0"/>
            </c:dLbl>
            <c:dLbl>
              <c:idx val="6"/>
              <c:layout>
                <c:manualLayout>
                  <c:x val="4.3678839903411922E-3"/>
                  <c:y val="-1.1076086629762125E-2"/>
                </c:manualLayout>
              </c:layout>
              <c:showLegendKey val="0"/>
              <c:showVal val="1"/>
              <c:showCatName val="0"/>
              <c:showSerName val="0"/>
              <c:showPercent val="0"/>
              <c:showBubbleSize val="0"/>
            </c:dLbl>
            <c:dLbl>
              <c:idx val="7"/>
              <c:layout>
                <c:manualLayout>
                  <c:x val="-8.5348117133932316E-4"/>
                  <c:y val="1.642525059794147E-3"/>
                </c:manualLayout>
              </c:layout>
              <c:showLegendKey val="0"/>
              <c:showVal val="1"/>
              <c:showCatName val="0"/>
              <c:showSerName val="0"/>
              <c:showPercent val="0"/>
              <c:showBubbleSize val="0"/>
            </c:dLbl>
            <c:dLbl>
              <c:idx val="8"/>
              <c:layout>
                <c:manualLayout>
                  <c:x val="1.6828963248383826E-2"/>
                  <c:y val="8.0585350228785119E-3"/>
                </c:manualLayout>
              </c:layout>
              <c:showLegendKey val="0"/>
              <c:showVal val="1"/>
              <c:showCatName val="0"/>
              <c:showSerName val="0"/>
              <c:showPercent val="0"/>
              <c:showBubbleSize val="0"/>
            </c:dLbl>
            <c:dLbl>
              <c:idx val="9"/>
              <c:layout>
                <c:manualLayout>
                  <c:x val="1.4783681680751195E-2"/>
                  <c:y val="-4.1395755786269453E-3"/>
                </c:manualLayout>
              </c:layout>
              <c:showLegendKey val="0"/>
              <c:showVal val="1"/>
              <c:showCatName val="0"/>
              <c:showSerName val="0"/>
              <c:showPercent val="0"/>
              <c:showBubbleSize val="0"/>
            </c:dLbl>
            <c:dLbl>
              <c:idx val="10"/>
              <c:layout>
                <c:manualLayout>
                  <c:xMode val="edge"/>
                  <c:yMode val="edge"/>
                  <c:x val="0.25584255842558423"/>
                  <c:y val="0.76163873370577284"/>
                </c:manualLayout>
              </c:layout>
              <c:showLegendKey val="0"/>
              <c:showVal val="1"/>
              <c:showCatName val="0"/>
              <c:showSerName val="0"/>
              <c:showPercent val="0"/>
              <c:showBubbleSize val="0"/>
            </c:dLbl>
            <c:numFmt formatCode="0.0" sourceLinked="0"/>
            <c:spPr>
              <a:noFill/>
              <a:ln w="25400">
                <a:noFill/>
              </a:ln>
            </c:spPr>
            <c:txPr>
              <a:bodyPr/>
              <a:lstStyle/>
              <a:p>
                <a:pPr>
                  <a:defRPr sz="900" b="1" i="0" u="none" strike="noStrike" baseline="0">
                    <a:solidFill>
                      <a:srgbClr val="000000"/>
                    </a:solidFill>
                    <a:latin typeface="Tahoma"/>
                    <a:ea typeface="Tahoma"/>
                    <a:cs typeface="Tahoma"/>
                  </a:defRPr>
                </a:pPr>
                <a:endParaRPr lang="el-GR"/>
              </a:p>
            </c:txPr>
            <c:showLegendKey val="0"/>
            <c:showVal val="1"/>
            <c:showCatName val="0"/>
            <c:showSerName val="0"/>
            <c:showPercent val="0"/>
            <c:showBubbleSize val="0"/>
            <c:showLeaderLines val="0"/>
          </c:dLbls>
          <c:cat>
            <c:strRef>
              <c:f>Sheet1!$B$1:$K$1</c:f>
              <c:strCache>
                <c:ptCount val="10"/>
                <c:pt idx="0">
                  <c:v>Μείωση φορολογίας φορολογικών συντελεστών</c:v>
                </c:pt>
                <c:pt idx="1">
                  <c:v>Ρύθμιση φορολογικών  ασφαλιστικών οφειλών</c:v>
                </c:pt>
                <c:pt idx="2">
                  <c:v>Τραπεζικός δανεισμός με ευνοϊκούς όρους</c:v>
                </c:pt>
                <c:pt idx="3">
                  <c:v>Ρύθμιση επιχειρηματικών δανείων</c:v>
                </c:pt>
                <c:pt idx="4">
                  <c:v>Μέτρα για ανάπτυξη</c:v>
                </c:pt>
                <c:pt idx="5">
                  <c:v>Αύξηση κατώτατου μισθού</c:v>
                </c:pt>
                <c:pt idx="6">
                  <c:v>Ελεύθερη επιλογή ασφαλιστικής κλάσης</c:v>
                </c:pt>
                <c:pt idx="7">
                  <c:v>Πάταξη φοροδιαφυγής</c:v>
                </c:pt>
                <c:pt idx="8">
                  <c:v>Υγειονομική κάλυψη</c:v>
                </c:pt>
                <c:pt idx="9">
                  <c:v>Άλλο </c:v>
                </c:pt>
              </c:strCache>
            </c:strRef>
          </c:cat>
          <c:val>
            <c:numRef>
              <c:f>Sheet1!$B$2:$K$2</c:f>
              <c:numCache>
                <c:formatCode>General</c:formatCode>
                <c:ptCount val="10"/>
                <c:pt idx="0">
                  <c:v>62.7</c:v>
                </c:pt>
                <c:pt idx="1">
                  <c:v>28.8</c:v>
                </c:pt>
                <c:pt idx="2">
                  <c:v>21.3</c:v>
                </c:pt>
                <c:pt idx="3">
                  <c:v>7.7</c:v>
                </c:pt>
                <c:pt idx="4">
                  <c:v>7.1</c:v>
                </c:pt>
                <c:pt idx="5">
                  <c:v>6</c:v>
                </c:pt>
                <c:pt idx="6">
                  <c:v>5</c:v>
                </c:pt>
                <c:pt idx="7">
                  <c:v>1.5</c:v>
                </c:pt>
                <c:pt idx="8">
                  <c:v>1.4</c:v>
                </c:pt>
                <c:pt idx="9">
                  <c:v>1.4</c:v>
                </c:pt>
              </c:numCache>
            </c:numRef>
          </c:val>
        </c:ser>
        <c:dLbls>
          <c:showLegendKey val="0"/>
          <c:showVal val="1"/>
          <c:showCatName val="0"/>
          <c:showSerName val="0"/>
          <c:showPercent val="0"/>
          <c:showBubbleSize val="0"/>
        </c:dLbls>
        <c:gapWidth val="70"/>
        <c:gapDepth val="0"/>
        <c:shape val="box"/>
        <c:axId val="107604224"/>
        <c:axId val="107607936"/>
        <c:axId val="0"/>
      </c:bar3DChart>
      <c:catAx>
        <c:axId val="107604224"/>
        <c:scaling>
          <c:orientation val="maxMin"/>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Tahoma"/>
                <a:ea typeface="Tahoma"/>
                <a:cs typeface="Tahoma"/>
              </a:defRPr>
            </a:pPr>
            <a:endParaRPr lang="el-GR"/>
          </a:p>
        </c:txPr>
        <c:crossAx val="107607936"/>
        <c:crosses val="autoZero"/>
        <c:auto val="1"/>
        <c:lblAlgn val="ctr"/>
        <c:lblOffset val="100"/>
        <c:tickLblSkip val="1"/>
        <c:tickMarkSkip val="1"/>
        <c:noMultiLvlLbl val="0"/>
      </c:catAx>
      <c:valAx>
        <c:axId val="107607936"/>
        <c:scaling>
          <c:orientation val="minMax"/>
          <c:max val="30"/>
          <c:min val="0"/>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1" i="0" u="none" strike="noStrike" baseline="0">
                <a:solidFill>
                  <a:srgbClr val="000000"/>
                </a:solidFill>
                <a:latin typeface="Times New Roman"/>
                <a:ea typeface="Times New Roman"/>
                <a:cs typeface="Times New Roman"/>
              </a:defRPr>
            </a:pPr>
            <a:endParaRPr lang="el-GR"/>
          </a:p>
        </c:txPr>
        <c:crossAx val="107604224"/>
        <c:crosses val="max"/>
        <c:crossBetween val="between"/>
      </c:valAx>
      <c:spPr>
        <a:noFill/>
        <a:ln w="25400">
          <a:noFill/>
        </a:ln>
      </c:spPr>
    </c:plotArea>
    <c:plotVisOnly val="1"/>
    <c:dispBlanksAs val="gap"/>
    <c:showDLblsOverMax val="0"/>
  </c:chart>
  <c:spPr>
    <a:noFill/>
    <a:ln>
      <a:noFill/>
    </a:ln>
  </c:spPr>
  <c:txPr>
    <a:bodyPr/>
    <a:lstStyle/>
    <a:p>
      <a:pPr>
        <a:defRPr sz="2100" b="1" i="0" u="none" strike="noStrike" baseline="0">
          <a:solidFill>
            <a:srgbClr val="000000"/>
          </a:solidFill>
          <a:latin typeface="Times New Roman"/>
          <a:ea typeface="Times New Roman"/>
          <a:cs typeface="Times New Roman"/>
        </a:defRPr>
      </a:pPr>
      <a:endParaRPr lang="el-G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2010" b="1" i="0" u="none" strike="noStrike" baseline="0">
              <a:solidFill>
                <a:srgbClr val="000000"/>
              </a:solidFill>
              <a:latin typeface="Times New Roman"/>
              <a:ea typeface="Times New Roman"/>
              <a:cs typeface="Times New Roman"/>
            </a:defRPr>
          </a:pPr>
          <a:endParaRPr lang="el-GR"/>
        </a:p>
      </c:txPr>
    </c:title>
    <c:autoTitleDeleted val="0"/>
    <c:view3D>
      <c:rotX val="15"/>
      <c:hPercent val="72"/>
      <c:rotY val="20"/>
      <c:depthPercent val="60"/>
      <c:rAngAx val="1"/>
    </c:view3D>
    <c:floor>
      <c:thickness val="0"/>
      <c:spPr>
        <a:solidFill>
          <a:srgbClr val="C0C0C0"/>
        </a:solidFill>
        <a:ln w="3175">
          <a:solidFill>
            <a:schemeClr val="tx1"/>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7.4433441664667269E-2"/>
          <c:y val="1.5257270693512305E-2"/>
          <c:w val="0.94423270644888402"/>
          <c:h val="0.74194043910264884"/>
        </c:manualLayout>
      </c:layout>
      <c:bar3DChart>
        <c:barDir val="col"/>
        <c:grouping val="clustered"/>
        <c:varyColors val="0"/>
        <c:ser>
          <c:idx val="1"/>
          <c:order val="0"/>
          <c:tx>
            <c:strRef>
              <c:f>Sheet1!$A$2</c:f>
              <c:strCache>
                <c:ptCount val="1"/>
              </c:strCache>
            </c:strRef>
          </c:tx>
          <c:spPr>
            <a:gradFill rotWithShape="0">
              <a:gsLst>
                <a:gs pos="0">
                  <a:srgbClr val="339966"/>
                </a:gs>
                <a:gs pos="100000">
                  <a:srgbClr val="339966">
                    <a:gamma/>
                    <a:tint val="63922"/>
                    <a:invGamma/>
                  </a:srgbClr>
                </a:gs>
              </a:gsLst>
              <a:lin ang="2700000" scaled="1"/>
            </a:gradFill>
            <a:ln w="23656">
              <a:noFill/>
            </a:ln>
          </c:spPr>
          <c:invertIfNegative val="0"/>
          <c:dPt>
            <c:idx val="0"/>
            <c:invertIfNegative val="0"/>
            <c:bubble3D val="0"/>
            <c:spPr>
              <a:solidFill>
                <a:schemeClr val="accent2">
                  <a:lumMod val="20000"/>
                  <a:lumOff val="80000"/>
                </a:schemeClr>
              </a:solidFill>
              <a:ln w="9526"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Pt>
            <c:idx val="1"/>
            <c:invertIfNegative val="0"/>
            <c:bubble3D val="0"/>
            <c:spPr>
              <a:solidFill>
                <a:schemeClr val="accent2">
                  <a:lumMod val="40000"/>
                  <a:lumOff val="60000"/>
                </a:schemeClr>
              </a:solidFill>
              <a:ln w="23656">
                <a:noFill/>
              </a:ln>
            </c:spPr>
          </c:dPt>
          <c:dPt>
            <c:idx val="2"/>
            <c:invertIfNegative val="0"/>
            <c:bubble3D val="0"/>
            <c:spPr>
              <a:solidFill>
                <a:schemeClr val="accent2">
                  <a:lumMod val="60000"/>
                  <a:lumOff val="40000"/>
                </a:schemeClr>
              </a:solidFill>
              <a:ln w="9526"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3"/>
            <c:invertIfNegative val="0"/>
            <c:bubble3D val="0"/>
            <c:spPr>
              <a:solidFill>
                <a:srgbClr val="C86664"/>
              </a:solidFill>
              <a:ln w="9526"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4"/>
            <c:invertIfNegative val="0"/>
            <c:bubble3D val="0"/>
            <c:spPr>
              <a:solidFill>
                <a:schemeClr val="accent2"/>
              </a:solidFill>
              <a:ln w="23656">
                <a:noFill/>
              </a:ln>
            </c:spPr>
          </c:dPt>
          <c:dPt>
            <c:idx val="5"/>
            <c:invertIfNegative val="0"/>
            <c:bubble3D val="0"/>
            <c:spPr>
              <a:solidFill>
                <a:schemeClr val="accent2">
                  <a:lumMod val="75000"/>
                </a:schemeClr>
              </a:solidFill>
              <a:ln w="23656">
                <a:noFill/>
              </a:ln>
            </c:spPr>
          </c:dPt>
          <c:dPt>
            <c:idx val="6"/>
            <c:invertIfNegative val="0"/>
            <c:bubble3D val="0"/>
            <c:spPr>
              <a:solidFill>
                <a:srgbClr val="C00000"/>
              </a:solidFill>
              <a:ln w="23656">
                <a:solidFill>
                  <a:srgbClr val="C00000"/>
                </a:solidFill>
              </a:ln>
            </c:spPr>
          </c:dPt>
          <c:dPt>
            <c:idx val="7"/>
            <c:invertIfNegative val="0"/>
            <c:bubble3D val="0"/>
            <c:spPr>
              <a:solidFill>
                <a:srgbClr val="920000"/>
              </a:solidFill>
              <a:ln w="23656">
                <a:noFill/>
              </a:ln>
            </c:spPr>
          </c:dPt>
          <c:dPt>
            <c:idx val="8"/>
            <c:invertIfNegative val="0"/>
            <c:bubble3D val="0"/>
            <c:spPr>
              <a:solidFill>
                <a:srgbClr val="740000"/>
              </a:solidFill>
              <a:ln w="23656">
                <a:noFill/>
              </a:ln>
            </c:spPr>
          </c:dPt>
          <c:dPt>
            <c:idx val="9"/>
            <c:invertIfNegative val="0"/>
            <c:bubble3D val="0"/>
            <c:spPr>
              <a:solidFill>
                <a:srgbClr val="500000"/>
              </a:solidFill>
              <a:ln w="23656">
                <a:noFill/>
              </a:ln>
            </c:spPr>
          </c:dPt>
          <c:dLbls>
            <c:dLbl>
              <c:idx val="0"/>
              <c:layout>
                <c:manualLayout>
                  <c:x val="9.2398422925790199E-3"/>
                  <c:y val="-2.9627598306405191E-2"/>
                </c:manualLayout>
              </c:layout>
              <c:showLegendKey val="0"/>
              <c:showVal val="1"/>
              <c:showCatName val="0"/>
              <c:showSerName val="0"/>
              <c:showPercent val="0"/>
              <c:showBubbleSize val="0"/>
            </c:dLbl>
            <c:dLbl>
              <c:idx val="1"/>
              <c:layout>
                <c:manualLayout>
                  <c:x val="-6.3651127865775124E-3"/>
                  <c:y val="-2.3682536302171507E-2"/>
                </c:manualLayout>
              </c:layout>
              <c:showLegendKey val="0"/>
              <c:showVal val="1"/>
              <c:showCatName val="0"/>
              <c:showSerName val="0"/>
              <c:showPercent val="0"/>
              <c:showBubbleSize val="0"/>
            </c:dLbl>
            <c:dLbl>
              <c:idx val="2"/>
              <c:layout>
                <c:manualLayout>
                  <c:x val="8.7790650929848897E-3"/>
                  <c:y val="-2.6523441194613698E-2"/>
                </c:manualLayout>
              </c:layout>
              <c:showLegendKey val="0"/>
              <c:showVal val="1"/>
              <c:showCatName val="0"/>
              <c:showSerName val="0"/>
              <c:showPercent val="0"/>
              <c:showBubbleSize val="0"/>
            </c:dLbl>
            <c:dLbl>
              <c:idx val="3"/>
              <c:layout>
                <c:manualLayout>
                  <c:x val="7.9802743596189211E-4"/>
                  <c:y val="-1.9887028906236212E-2"/>
                </c:manualLayout>
              </c:layout>
              <c:showLegendKey val="0"/>
              <c:showVal val="1"/>
              <c:showCatName val="0"/>
              <c:showSerName val="0"/>
              <c:showPercent val="0"/>
              <c:showBubbleSize val="0"/>
            </c:dLbl>
            <c:dLbl>
              <c:idx val="5"/>
              <c:layout>
                <c:manualLayout>
                  <c:x val="-1.0608799757150372E-2"/>
                  <c:y val="-1.1364002419548231E-2"/>
                </c:manualLayout>
              </c:layout>
              <c:showLegendKey val="0"/>
              <c:showVal val="1"/>
              <c:showCatName val="0"/>
              <c:showSerName val="0"/>
              <c:showPercent val="0"/>
              <c:showBubbleSize val="0"/>
            </c:dLbl>
            <c:dLbl>
              <c:idx val="6"/>
              <c:layout>
                <c:manualLayout>
                  <c:x val="-1.6788677610064323E-3"/>
                  <c:y val="-2.5256974803085089E-2"/>
                </c:manualLayout>
              </c:layout>
              <c:showLegendKey val="0"/>
              <c:showVal val="1"/>
              <c:showCatName val="0"/>
              <c:showSerName val="0"/>
              <c:showPercent val="0"/>
              <c:showBubbleSize val="0"/>
            </c:dLbl>
            <c:dLbl>
              <c:idx val="7"/>
              <c:layout>
                <c:manualLayout>
                  <c:x val="4.8469385158852367E-3"/>
                  <c:y val="-3.0218686926670322E-2"/>
                </c:manualLayout>
              </c:layout>
              <c:showLegendKey val="0"/>
              <c:showVal val="1"/>
              <c:showCatName val="0"/>
              <c:showSerName val="0"/>
              <c:showPercent val="0"/>
              <c:showBubbleSize val="0"/>
            </c:dLbl>
            <c:txPr>
              <a:bodyPr/>
              <a:lstStyle/>
              <a:p>
                <a:pPr>
                  <a:defRPr sz="700" b="1" i="0" u="none" strike="noStrike" baseline="0">
                    <a:solidFill>
                      <a:srgbClr val="000000"/>
                    </a:solidFill>
                    <a:latin typeface="Tahoma"/>
                    <a:ea typeface="Tahoma"/>
                    <a:cs typeface="Tahoma"/>
                  </a:defRPr>
                </a:pPr>
                <a:endParaRPr lang="el-GR"/>
              </a:p>
            </c:txPr>
            <c:showLegendKey val="0"/>
            <c:showVal val="1"/>
            <c:showCatName val="0"/>
            <c:showSerName val="0"/>
            <c:showPercent val="0"/>
            <c:showBubbleSize val="0"/>
            <c:showLeaderLines val="0"/>
          </c:dLbls>
          <c:cat>
            <c:strRef>
              <c:f>Sheet1!$B$1:$L$1</c:f>
              <c:strCache>
                <c:ptCount val="11"/>
                <c:pt idx="0">
                  <c:v>Μάιος 2009</c:v>
                </c:pt>
                <c:pt idx="1">
                  <c:v>Ιούλιος 2010</c:v>
                </c:pt>
                <c:pt idx="2">
                  <c:v>Ιανουάριος 2011</c:v>
                </c:pt>
                <c:pt idx="3">
                  <c:v>Ιούλιος 2011</c:v>
                </c:pt>
                <c:pt idx="4">
                  <c:v>Ιανουάριος 2012</c:v>
                </c:pt>
                <c:pt idx="5">
                  <c:v>Ιούλιος 2012</c:v>
                </c:pt>
                <c:pt idx="6">
                  <c:v>Ιανουάριος 2013</c:v>
                </c:pt>
                <c:pt idx="7">
                  <c:v>Ιούλιος 2013</c:v>
                </c:pt>
                <c:pt idx="8">
                  <c:v>Φεβρουάριος 2014</c:v>
                </c:pt>
                <c:pt idx="9">
                  <c:v>Ιούλιος 14</c:v>
                </c:pt>
                <c:pt idx="10">
                  <c:v>Φεβρουάριος 2015</c:v>
                </c:pt>
              </c:strCache>
            </c:strRef>
          </c:cat>
          <c:val>
            <c:numRef>
              <c:f>Sheet1!$B$2:$L$2</c:f>
              <c:numCache>
                <c:formatCode>General</c:formatCode>
                <c:ptCount val="11"/>
                <c:pt idx="0">
                  <c:v>11.7</c:v>
                </c:pt>
                <c:pt idx="1">
                  <c:v>44.4</c:v>
                </c:pt>
                <c:pt idx="2">
                  <c:v>52.7</c:v>
                </c:pt>
                <c:pt idx="3">
                  <c:v>44.5</c:v>
                </c:pt>
                <c:pt idx="4">
                  <c:v>51.2</c:v>
                </c:pt>
                <c:pt idx="5">
                  <c:v>53.3</c:v>
                </c:pt>
                <c:pt idx="6">
                  <c:v>49.6</c:v>
                </c:pt>
                <c:pt idx="7">
                  <c:v>51.2</c:v>
                </c:pt>
                <c:pt idx="8">
                  <c:v>47.1</c:v>
                </c:pt>
                <c:pt idx="9">
                  <c:v>47.8</c:v>
                </c:pt>
                <c:pt idx="10">
                  <c:v>32.9</c:v>
                </c:pt>
              </c:numCache>
            </c:numRef>
          </c:val>
        </c:ser>
        <c:dLbls>
          <c:showLegendKey val="0"/>
          <c:showVal val="0"/>
          <c:showCatName val="0"/>
          <c:showSerName val="0"/>
          <c:showPercent val="0"/>
          <c:showBubbleSize val="0"/>
        </c:dLbls>
        <c:gapWidth val="150"/>
        <c:shape val="box"/>
        <c:axId val="111544576"/>
        <c:axId val="111558656"/>
        <c:axId val="0"/>
      </c:bar3DChart>
      <c:catAx>
        <c:axId val="111544576"/>
        <c:scaling>
          <c:orientation val="minMax"/>
        </c:scaling>
        <c:delete val="0"/>
        <c:axPos val="b"/>
        <c:numFmt formatCode="General" sourceLinked="1"/>
        <c:majorTickMark val="none"/>
        <c:minorTickMark val="none"/>
        <c:tickLblPos val="low"/>
        <c:spPr>
          <a:ln w="2957">
            <a:solidFill>
              <a:schemeClr val="tx1"/>
            </a:solidFill>
            <a:prstDash val="solid"/>
          </a:ln>
        </c:spPr>
        <c:txPr>
          <a:bodyPr rot="-2700000" vert="horz"/>
          <a:lstStyle/>
          <a:p>
            <a:pPr>
              <a:defRPr sz="700" b="1" i="0" u="none" strike="noStrike" baseline="0">
                <a:solidFill>
                  <a:srgbClr val="000000"/>
                </a:solidFill>
                <a:latin typeface="Tahoma"/>
                <a:ea typeface="Tahoma"/>
                <a:cs typeface="Tahoma"/>
              </a:defRPr>
            </a:pPr>
            <a:endParaRPr lang="el-GR"/>
          </a:p>
        </c:txPr>
        <c:crossAx val="111558656"/>
        <c:crosses val="autoZero"/>
        <c:auto val="1"/>
        <c:lblAlgn val="ctr"/>
        <c:lblOffset val="100"/>
        <c:tickLblSkip val="1"/>
        <c:tickMarkSkip val="1"/>
        <c:noMultiLvlLbl val="0"/>
      </c:catAx>
      <c:valAx>
        <c:axId val="111558656"/>
        <c:scaling>
          <c:orientation val="minMax"/>
          <c:max val="60"/>
          <c:min val="0"/>
        </c:scaling>
        <c:delete val="0"/>
        <c:axPos val="l"/>
        <c:majorGridlines/>
        <c:numFmt formatCode="General" sourceLinked="1"/>
        <c:majorTickMark val="none"/>
        <c:minorTickMark val="none"/>
        <c:tickLblPos val="nextTo"/>
        <c:txPr>
          <a:bodyPr rot="0" vert="horz"/>
          <a:lstStyle/>
          <a:p>
            <a:pPr>
              <a:defRPr sz="255" b="1" i="0" u="none" strike="noStrike" baseline="0">
                <a:solidFill>
                  <a:srgbClr val="000000"/>
                </a:solidFill>
                <a:latin typeface="Times New Roman"/>
                <a:ea typeface="Times New Roman"/>
                <a:cs typeface="Times New Roman"/>
              </a:defRPr>
            </a:pPr>
            <a:endParaRPr lang="el-GR"/>
          </a:p>
        </c:txPr>
        <c:crossAx val="111544576"/>
        <c:crosses val="autoZero"/>
        <c:crossBetween val="between"/>
      </c:valAx>
      <c:spPr>
        <a:noFill/>
        <a:ln w="25401">
          <a:noFill/>
        </a:ln>
      </c:spPr>
    </c:plotArea>
    <c:plotVisOnly val="1"/>
    <c:dispBlanksAs val="gap"/>
    <c:showDLblsOverMax val="0"/>
  </c:chart>
  <c:spPr>
    <a:noFill/>
    <a:ln>
      <a:noFill/>
    </a:ln>
  </c:spPr>
  <c:txPr>
    <a:bodyPr/>
    <a:lstStyle/>
    <a:p>
      <a:pPr>
        <a:defRPr sz="1675" b="1" i="0" u="none" strike="noStrike" baseline="0">
          <a:solidFill>
            <a:srgbClr val="000000"/>
          </a:solidFill>
          <a:latin typeface="Times New Roman"/>
          <a:ea typeface="Times New Roman"/>
          <a:cs typeface="Times New Roman"/>
        </a:defRPr>
      </a:pPr>
      <a:endParaRPr lang="el-G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140" b="1" i="0" u="none" strike="noStrike" baseline="0">
              <a:solidFill>
                <a:srgbClr val="000000"/>
              </a:solidFill>
              <a:latin typeface="Times New Roman"/>
              <a:ea typeface="Times New Roman"/>
              <a:cs typeface="Times New Roman"/>
            </a:defRPr>
          </a:pPr>
          <a:endParaRPr lang="el-GR"/>
        </a:p>
      </c:txPr>
    </c:title>
    <c:autoTitleDeleted val="0"/>
    <c:view3D>
      <c:rotX val="15"/>
      <c:rotY val="40"/>
      <c:rAngAx val="0"/>
      <c:perspective val="0"/>
    </c:view3D>
    <c:floor>
      <c:thickness val="0"/>
    </c:floor>
    <c:sideWall>
      <c:thickness val="0"/>
    </c:sideWall>
    <c:backWall>
      <c:thickness val="0"/>
    </c:backWall>
    <c:plotArea>
      <c:layout>
        <c:manualLayout>
          <c:layoutTarget val="inner"/>
          <c:xMode val="edge"/>
          <c:yMode val="edge"/>
          <c:x val="0.10516661417322834"/>
          <c:y val="0.16876433150156966"/>
          <c:w val="0.81633343832020999"/>
          <c:h val="0.73201599927241379"/>
        </c:manualLayout>
      </c:layout>
      <c:pie3DChart>
        <c:varyColors val="1"/>
        <c:ser>
          <c:idx val="0"/>
          <c:order val="0"/>
          <c:tx>
            <c:strRef>
              <c:f>Sheet1!$A$2</c:f>
              <c:strCache>
                <c:ptCount val="1"/>
              </c:strCache>
            </c:strRef>
          </c:tx>
          <c:spPr>
            <a:solidFill>
              <a:schemeClr val="accent1"/>
            </a:solidFill>
            <a:ln w="12064">
              <a:solidFill>
                <a:schemeClr val="tx1"/>
              </a:solidFill>
              <a:prstDash val="solid"/>
            </a:ln>
          </c:spPr>
          <c:dPt>
            <c:idx val="0"/>
            <c:bubble3D val="0"/>
            <c:spPr>
              <a:solidFill>
                <a:srgbClr val="C00000"/>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Pt>
          <c:dPt>
            <c:idx val="3"/>
            <c:bubble3D val="0"/>
            <c:spPr>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lin ang="5400000" scaled="1"/>
                <a:tileRect/>
              </a:gradFill>
              <a:ln w="24127">
                <a:noFill/>
              </a:ln>
            </c:spPr>
          </c:dPt>
          <c:dPt>
            <c:idx val="4"/>
            <c:bubble3D val="0"/>
            <c:spPr>
              <a:gradFill>
                <a:gsLst>
                  <a:gs pos="0">
                    <a:srgbClr val="FFEFD1"/>
                  </a:gs>
                  <a:gs pos="64999">
                    <a:srgbClr val="F0EBD5"/>
                  </a:gs>
                  <a:gs pos="100000">
                    <a:srgbClr val="D1C39F"/>
                  </a:gs>
                </a:gsLst>
                <a:lin ang="2700000" scaled="0"/>
              </a:gradFill>
              <a:ln w="24127">
                <a:noFill/>
              </a:ln>
            </c:spPr>
          </c:dPt>
          <c:dLbls>
            <c:dLbl>
              <c:idx val="0"/>
              <c:layout>
                <c:manualLayout>
                  <c:x val="-1.6927307545801308E-4"/>
                  <c:y val="-3.1534814692666037E-2"/>
                </c:manualLayout>
              </c:layout>
              <c:dLblPos val="bestFit"/>
              <c:showLegendKey val="0"/>
              <c:showVal val="0"/>
              <c:showCatName val="1"/>
              <c:showSerName val="0"/>
              <c:showPercent val="1"/>
              <c:showBubbleSize val="0"/>
            </c:dLbl>
            <c:dLbl>
              <c:idx val="1"/>
              <c:layout>
                <c:manualLayout>
                  <c:x val="-1.8555334658714381E-2"/>
                  <c:y val="4.0412526968160396E-2"/>
                </c:manualLayout>
              </c:layout>
              <c:dLblPos val="bestFit"/>
              <c:showLegendKey val="0"/>
              <c:showVal val="0"/>
              <c:showCatName val="1"/>
              <c:showSerName val="0"/>
              <c:showPercent val="1"/>
              <c:showBubbleSize val="0"/>
            </c:dLbl>
            <c:dLbl>
              <c:idx val="2"/>
              <c:layout>
                <c:manualLayout>
                  <c:x val="-3.8403072379372065E-2"/>
                  <c:y val="6.1283203473911307E-2"/>
                </c:manualLayout>
              </c:layout>
              <c:dLblPos val="bestFit"/>
              <c:showLegendKey val="0"/>
              <c:showVal val="0"/>
              <c:showCatName val="1"/>
              <c:showSerName val="0"/>
              <c:showPercent val="1"/>
              <c:showBubbleSize val="0"/>
            </c:dLbl>
            <c:dLbl>
              <c:idx val="3"/>
              <c:layout>
                <c:manualLayout>
                  <c:x val="-5.2203008522239802E-2"/>
                  <c:y val="-1.7518794313606727E-3"/>
                </c:manualLayout>
              </c:layout>
              <c:dLblPos val="bestFit"/>
              <c:showLegendKey val="0"/>
              <c:showVal val="0"/>
              <c:showCatName val="1"/>
              <c:showSerName val="0"/>
              <c:showPercent val="1"/>
              <c:showBubbleSize val="0"/>
            </c:dLbl>
            <c:dLbl>
              <c:idx val="4"/>
              <c:layout>
                <c:manualLayout>
                  <c:x val="-3.181415444341823E-2"/>
                  <c:y val="-4.8836487062153877E-2"/>
                </c:manualLayout>
              </c:layout>
              <c:dLblPos val="bestFit"/>
              <c:showLegendKey val="0"/>
              <c:showVal val="0"/>
              <c:showCatName val="1"/>
              <c:showSerName val="0"/>
              <c:showPercent val="1"/>
              <c:showBubbleSize val="0"/>
            </c:dLbl>
            <c:dLbl>
              <c:idx val="5"/>
              <c:layout>
                <c:manualLayout>
                  <c:x val="8.34609796782247E-3"/>
                  <c:y val="-3.8480971128608925E-2"/>
                </c:manualLayout>
              </c:layout>
              <c:dLblPos val="bestFit"/>
              <c:showLegendKey val="0"/>
              <c:showVal val="0"/>
              <c:showCatName val="1"/>
              <c:showSerName val="0"/>
              <c:showPercent val="1"/>
              <c:showBubbleSize val="0"/>
            </c:dLbl>
            <c:numFmt formatCode="0.0%" sourceLinked="0"/>
            <c:spPr>
              <a:noFill/>
              <a:ln w="24127">
                <a:noFill/>
              </a:ln>
            </c:spPr>
            <c:txPr>
              <a:bodyPr/>
              <a:lstStyle/>
              <a:p>
                <a:pPr>
                  <a:defRPr sz="700" b="1" i="0" u="none" strike="noStrike" baseline="0">
                    <a:solidFill>
                      <a:srgbClr val="000000"/>
                    </a:solidFill>
                    <a:latin typeface="Tahoma"/>
                    <a:ea typeface="Tahoma"/>
                    <a:cs typeface="Tahoma"/>
                  </a:defRPr>
                </a:pPr>
                <a:endParaRPr lang="el-GR"/>
              </a:p>
            </c:txPr>
            <c:showLegendKey val="0"/>
            <c:showVal val="0"/>
            <c:showCatName val="1"/>
            <c:showSerName val="0"/>
            <c:showPercent val="1"/>
            <c:showBubbleSize val="0"/>
            <c:showLeaderLines val="0"/>
          </c:dLbls>
          <c:cat>
            <c:strRef>
              <c:f>Sheet1!$B$1:$F$1</c:f>
              <c:strCache>
                <c:ptCount val="5"/>
                <c:pt idx="0">
                  <c:v>Πολύ πιθανό</c:v>
                </c:pt>
                <c:pt idx="1">
                  <c:v>Αρκετά πιθανό</c:v>
                </c:pt>
                <c:pt idx="2">
                  <c:v>Ελάχιστα πιθανό</c:v>
                </c:pt>
                <c:pt idx="3">
                  <c:v>Καθόλου πιθανό</c:v>
                </c:pt>
                <c:pt idx="4">
                  <c:v>ΔΓΔΑ</c:v>
                </c:pt>
              </c:strCache>
            </c:strRef>
          </c:cat>
          <c:val>
            <c:numRef>
              <c:f>Sheet1!$B$2:$F$2</c:f>
              <c:numCache>
                <c:formatCode>General</c:formatCode>
                <c:ptCount val="5"/>
                <c:pt idx="0">
                  <c:v>14.1</c:v>
                </c:pt>
                <c:pt idx="1">
                  <c:v>18.8</c:v>
                </c:pt>
                <c:pt idx="2">
                  <c:v>30.9</c:v>
                </c:pt>
                <c:pt idx="3">
                  <c:v>34.1</c:v>
                </c:pt>
                <c:pt idx="4">
                  <c:v>2.1</c:v>
                </c:pt>
              </c:numCache>
            </c:numRef>
          </c:val>
        </c:ser>
        <c:dLbls>
          <c:showLegendKey val="0"/>
          <c:showVal val="0"/>
          <c:showCatName val="1"/>
          <c:showSerName val="0"/>
          <c:showPercent val="1"/>
          <c:showBubbleSize val="0"/>
          <c:showLeaderLines val="0"/>
        </c:dLbls>
      </c:pie3DChart>
      <c:spPr>
        <a:noFill/>
        <a:ln w="25399">
          <a:noFill/>
        </a:ln>
      </c:spPr>
    </c:plotArea>
    <c:plotVisOnly val="1"/>
    <c:dispBlanksAs val="zero"/>
    <c:showDLblsOverMax val="0"/>
  </c:chart>
  <c:spPr>
    <a:noFill/>
    <a:ln>
      <a:noFill/>
    </a:ln>
  </c:spPr>
  <c:txPr>
    <a:bodyPr/>
    <a:lstStyle/>
    <a:p>
      <a:pPr>
        <a:defRPr sz="950" b="1" i="0" u="none" strike="noStrike" baseline="0">
          <a:solidFill>
            <a:srgbClr val="000000"/>
          </a:solidFill>
          <a:latin typeface="Times New Roman"/>
          <a:ea typeface="Times New Roman"/>
          <a:cs typeface="Times New Roman"/>
        </a:defRPr>
      </a:pPr>
      <a:endParaRPr lang="el-G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39"/>
      <c:rotY val="20"/>
      <c:depthPercent val="6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21638538382903319"/>
          <c:y val="2.9278290147855365E-2"/>
          <c:w val="0.73906369831922891"/>
          <c:h val="0.89528418536847132"/>
        </c:manualLayout>
      </c:layout>
      <c:bar3DChart>
        <c:barDir val="bar"/>
        <c:grouping val="stacked"/>
        <c:varyColors val="0"/>
        <c:ser>
          <c:idx val="1"/>
          <c:order val="0"/>
          <c:tx>
            <c:strRef>
              <c:f>Sheet1!$A$2</c:f>
              <c:strCache>
                <c:ptCount val="1"/>
                <c:pt idx="0">
                  <c:v>Αύξηση</c:v>
                </c:pt>
              </c:strCache>
            </c:strRef>
          </c:tx>
          <c:spPr>
            <a:gradFill rotWithShape="0">
              <a:gsLst>
                <a:gs pos="0">
                  <a:srgbClr xmlns:mc="http://schemas.openxmlformats.org/markup-compatibility/2006" xmlns:a14="http://schemas.microsoft.com/office/drawing/2010/main" val="008000" mc:Ignorable="a14" a14:legacySpreadsheetColorIndex="17"/>
                </a:gs>
                <a:gs pos="100000">
                  <a:srgbClr xmlns:mc="http://schemas.openxmlformats.org/markup-compatibility/2006" xmlns:a14="http://schemas.microsoft.com/office/drawing/2010/main" val="FEFEFE" mc:Ignorable="a14" a14:legacySpreadsheetColorIndex="17">
                    <a:gamma/>
                    <a:tint val="63922"/>
                    <a:invGamma/>
                  </a:srgbClr>
                </a:gs>
              </a:gsLst>
              <a:lin ang="2700000" scaled="1"/>
            </a:gradFill>
            <a:ln w="25402">
              <a:noFill/>
            </a:ln>
          </c:spPr>
          <c:invertIfNegative val="0"/>
          <c:dLbls>
            <c:dLbl>
              <c:idx val="0"/>
              <c:layout>
                <c:manualLayout>
                  <c:x val="3.1935113026498982E-3"/>
                  <c:y val="1.0698419119222166E-2"/>
                </c:manualLayout>
              </c:layout>
              <c:showLegendKey val="0"/>
              <c:showVal val="1"/>
              <c:showCatName val="0"/>
              <c:showSerName val="0"/>
              <c:showPercent val="0"/>
              <c:showBubbleSize val="0"/>
            </c:dLbl>
            <c:dLbl>
              <c:idx val="1"/>
              <c:layout>
                <c:manualLayout>
                  <c:x val="8.0879309485473068E-3"/>
                  <c:y val="1.0020587546088845E-2"/>
                </c:manualLayout>
              </c:layout>
              <c:showLegendKey val="0"/>
              <c:showVal val="1"/>
              <c:showCatName val="0"/>
              <c:showSerName val="0"/>
              <c:showPercent val="0"/>
              <c:showBubbleSize val="0"/>
            </c:dLbl>
            <c:dLbl>
              <c:idx val="2"/>
              <c:layout>
                <c:manualLayout>
                  <c:x val="1.4698336078438011E-2"/>
                  <c:y val="1.9462107873987659E-2"/>
                </c:manualLayout>
              </c:layout>
              <c:showLegendKey val="0"/>
              <c:showVal val="1"/>
              <c:showCatName val="0"/>
              <c:showSerName val="0"/>
              <c:showPercent val="0"/>
              <c:showBubbleSize val="0"/>
            </c:dLbl>
            <c:dLbl>
              <c:idx val="3"/>
              <c:layout>
                <c:manualLayout>
                  <c:x val="9.7232117003285806E-3"/>
                  <c:y val="-1.5843255345230515E-2"/>
                </c:manualLayout>
              </c:layout>
              <c:showLegendKey val="0"/>
              <c:showVal val="1"/>
              <c:showCatName val="0"/>
              <c:showSerName val="0"/>
              <c:showPercent val="0"/>
              <c:showBubbleSize val="0"/>
            </c:dLbl>
            <c:dLbl>
              <c:idx val="4"/>
              <c:layout>
                <c:manualLayout>
                  <c:x val="3.4769882667718419E-3"/>
                  <c:y val="8.0991230964689524E-3"/>
                </c:manualLayout>
              </c:layout>
              <c:showLegendKey val="0"/>
              <c:showVal val="1"/>
              <c:showCatName val="0"/>
              <c:showSerName val="0"/>
              <c:showPercent val="0"/>
              <c:showBubbleSize val="0"/>
            </c:dLbl>
            <c:numFmt formatCode="0.0" sourceLinked="0"/>
            <c:spPr>
              <a:noFill/>
              <a:ln w="25402">
                <a:noFill/>
              </a:ln>
            </c:spPr>
            <c:txPr>
              <a:bodyPr/>
              <a:lstStyle/>
              <a:p>
                <a:pPr>
                  <a:defRPr sz="850" b="1" i="0" u="none" strike="noStrike" baseline="0">
                    <a:solidFill>
                      <a:srgbClr val="000000"/>
                    </a:solidFill>
                    <a:latin typeface="Tahoma"/>
                    <a:ea typeface="Tahoma"/>
                    <a:cs typeface="Tahoma"/>
                  </a:defRPr>
                </a:pPr>
                <a:endParaRPr lang="el-GR"/>
              </a:p>
            </c:txPr>
            <c:showLegendKey val="0"/>
            <c:showVal val="1"/>
            <c:showCatName val="0"/>
            <c:showSerName val="0"/>
            <c:showPercent val="0"/>
            <c:showBubbleSize val="0"/>
            <c:showLeaderLines val="0"/>
          </c:dLbls>
          <c:cat>
            <c:strRef>
              <c:f>Sheet1!$B$1:$G$1</c:f>
              <c:strCache>
                <c:ptCount val="6"/>
                <c:pt idx="0">
                  <c:v>ΚΥΚΛΟΣ ΕΡΓΑΣΙΩΝ</c:v>
                </c:pt>
                <c:pt idx="1">
                  <c:v>ΖΗΤΗΣΗ</c:v>
                </c:pt>
                <c:pt idx="2">
                  <c:v>ΡΕΥΣΤΟΤΗΤΑ</c:v>
                </c:pt>
                <c:pt idx="3">
                  <c:v>ΠΑΡΑΓΓΕΛΙΕΣ</c:v>
                </c:pt>
                <c:pt idx="4">
                  <c:v>ΕΠΕΝΔΥΣΕΙΣ</c:v>
                </c:pt>
                <c:pt idx="5">
                  <c:v>ΑΠΑΣΧΟΛΗΣΗ</c:v>
                </c:pt>
              </c:strCache>
            </c:strRef>
          </c:cat>
          <c:val>
            <c:numRef>
              <c:f>Sheet1!$B$2:$G$2</c:f>
              <c:numCache>
                <c:formatCode>General</c:formatCode>
                <c:ptCount val="6"/>
                <c:pt idx="0">
                  <c:v>20.8</c:v>
                </c:pt>
                <c:pt idx="1">
                  <c:v>22.7</c:v>
                </c:pt>
                <c:pt idx="2">
                  <c:v>19.899999999999999</c:v>
                </c:pt>
                <c:pt idx="3">
                  <c:v>19.899999999999999</c:v>
                </c:pt>
                <c:pt idx="4">
                  <c:v>13.2</c:v>
                </c:pt>
                <c:pt idx="5">
                  <c:v>11.7</c:v>
                </c:pt>
              </c:numCache>
            </c:numRef>
          </c:val>
        </c:ser>
        <c:ser>
          <c:idx val="0"/>
          <c:order val="1"/>
          <c:tx>
            <c:strRef>
              <c:f>Sheet1!$A$3</c:f>
              <c:strCache>
                <c:ptCount val="1"/>
                <c:pt idx="0">
                  <c:v>Μείωση</c:v>
                </c:pt>
              </c:strCache>
            </c:strRef>
          </c:tx>
          <c:spPr>
            <a:gradFill rotWithShape="0">
              <a:gsLst>
                <a:gs pos="0">
                  <a:srgbClr xmlns:mc="http://schemas.openxmlformats.org/markup-compatibility/2006" xmlns:a14="http://schemas.microsoft.com/office/drawing/2010/main" val="020000" mc:Ignorable="a14" a14:legacySpreadsheetColorIndex="10">
                    <a:gamma/>
                    <a:shade val="76078"/>
                    <a:invGamma/>
                  </a:srgbClr>
                </a:gs>
                <a:gs pos="100000">
                  <a:srgbClr xmlns:mc="http://schemas.openxmlformats.org/markup-compatibility/2006" xmlns:a14="http://schemas.microsoft.com/office/drawing/2010/main" val="FF0000" mc:Ignorable="a14" a14:legacySpreadsheetColorIndex="10"/>
                </a:gs>
              </a:gsLst>
              <a:lin ang="2700000" scaled="1"/>
            </a:gradFill>
            <a:ln w="25402">
              <a:noFill/>
            </a:ln>
          </c:spPr>
          <c:invertIfNegative val="0"/>
          <c:dLbls>
            <c:numFmt formatCode="0.0" sourceLinked="0"/>
            <c:spPr>
              <a:noFill/>
              <a:ln w="25402">
                <a:noFill/>
              </a:ln>
            </c:spPr>
            <c:txPr>
              <a:bodyPr/>
              <a:lstStyle/>
              <a:p>
                <a:pPr>
                  <a:defRPr sz="900" b="1" i="0" u="none" strike="noStrike" baseline="0">
                    <a:solidFill>
                      <a:srgbClr val="000000"/>
                    </a:solidFill>
                    <a:latin typeface="Tahoma"/>
                    <a:ea typeface="Tahoma"/>
                    <a:cs typeface="Tahoma"/>
                  </a:defRPr>
                </a:pPr>
                <a:endParaRPr lang="el-GR"/>
              </a:p>
            </c:txPr>
            <c:showLegendKey val="0"/>
            <c:showVal val="1"/>
            <c:showCatName val="0"/>
            <c:showSerName val="0"/>
            <c:showPercent val="0"/>
            <c:showBubbleSize val="0"/>
            <c:showLeaderLines val="0"/>
          </c:dLbls>
          <c:cat>
            <c:strRef>
              <c:f>Sheet1!$B$1:$G$1</c:f>
              <c:strCache>
                <c:ptCount val="6"/>
                <c:pt idx="0">
                  <c:v>ΚΥΚΛΟΣ ΕΡΓΑΣΙΩΝ</c:v>
                </c:pt>
                <c:pt idx="1">
                  <c:v>ΖΗΤΗΣΗ</c:v>
                </c:pt>
                <c:pt idx="2">
                  <c:v>ΡΕΥΣΤΟΤΗΤΑ</c:v>
                </c:pt>
                <c:pt idx="3">
                  <c:v>ΠΑΡΑΓΓΕΛΙΕΣ</c:v>
                </c:pt>
                <c:pt idx="4">
                  <c:v>ΕΠΕΝΔΥΣΕΙΣ</c:v>
                </c:pt>
                <c:pt idx="5">
                  <c:v>ΑΠΑΣΧΟΛΗΣΗ</c:v>
                </c:pt>
              </c:strCache>
            </c:strRef>
          </c:cat>
          <c:val>
            <c:numRef>
              <c:f>Sheet1!$B$3:$G$3</c:f>
              <c:numCache>
                <c:formatCode>General</c:formatCode>
                <c:ptCount val="6"/>
                <c:pt idx="0">
                  <c:v>33.1</c:v>
                </c:pt>
                <c:pt idx="1">
                  <c:v>33.700000000000003</c:v>
                </c:pt>
                <c:pt idx="2">
                  <c:v>36.9</c:v>
                </c:pt>
                <c:pt idx="3">
                  <c:v>35.700000000000003</c:v>
                </c:pt>
                <c:pt idx="4">
                  <c:v>25.7</c:v>
                </c:pt>
                <c:pt idx="5">
                  <c:v>13.7</c:v>
                </c:pt>
              </c:numCache>
            </c:numRef>
          </c:val>
        </c:ser>
        <c:ser>
          <c:idx val="2"/>
          <c:order val="2"/>
          <c:tx>
            <c:strRef>
              <c:f>Sheet1!$A$4</c:f>
              <c:strCache>
                <c:ptCount val="1"/>
                <c:pt idx="0">
                  <c:v>Χωρίς μεταβολή</c:v>
                </c:pt>
              </c:strCache>
            </c:strRef>
          </c:tx>
          <c:spPr>
            <a:gradFill rotWithShape="0">
              <a:gsLst>
                <a:gs pos="0">
                  <a:srgbClr xmlns:mc="http://schemas.openxmlformats.org/markup-compatibility/2006" xmlns:a14="http://schemas.microsoft.com/office/drawing/2010/main" val="C0C0C0" mc:Ignorable="a14" a14:legacySpreadsheetColorIndex="22"/>
                </a:gs>
                <a:gs pos="100000">
                  <a:srgbClr xmlns:mc="http://schemas.openxmlformats.org/markup-compatibility/2006" xmlns:a14="http://schemas.microsoft.com/office/drawing/2010/main" val="FFFFFF" mc:Ignorable="a14" a14:legacySpreadsheetColorIndex="22">
                    <a:gamma/>
                    <a:tint val="33725"/>
                    <a:invGamma/>
                  </a:srgbClr>
                </a:gs>
              </a:gsLst>
              <a:lin ang="2700000" scaled="1"/>
            </a:gradFill>
            <a:ln w="25402">
              <a:noFill/>
            </a:ln>
          </c:spPr>
          <c:invertIfNegative val="0"/>
          <c:dLbls>
            <c:dLbl>
              <c:idx val="0"/>
              <c:layout>
                <c:manualLayout>
                  <c:x val="2.8009353065209242E-2"/>
                  <c:y val="-7.1335090009739827E-3"/>
                </c:manualLayout>
              </c:layout>
              <c:showLegendKey val="0"/>
              <c:showVal val="1"/>
              <c:showCatName val="0"/>
              <c:showSerName val="0"/>
              <c:showPercent val="0"/>
              <c:showBubbleSize val="0"/>
            </c:dLbl>
            <c:dLbl>
              <c:idx val="3"/>
              <c:layout>
                <c:manualLayout>
                  <c:x val="2.4704285521313474E-2"/>
                  <c:y val="-3.069999250782295E-3"/>
                </c:manualLayout>
              </c:layout>
              <c:showLegendKey val="0"/>
              <c:showVal val="1"/>
              <c:showCatName val="0"/>
              <c:showSerName val="0"/>
              <c:showPercent val="0"/>
              <c:showBubbleSize val="0"/>
            </c:dLbl>
            <c:spPr>
              <a:noFill/>
              <a:ln w="25402">
                <a:noFill/>
              </a:ln>
            </c:spPr>
            <c:txPr>
              <a:bodyPr/>
              <a:lstStyle/>
              <a:p>
                <a:pPr>
                  <a:defRPr sz="850" b="1" i="0" u="none" strike="noStrike" baseline="0">
                    <a:solidFill>
                      <a:srgbClr val="000000"/>
                    </a:solidFill>
                    <a:latin typeface="Tahoma"/>
                    <a:ea typeface="Tahoma"/>
                    <a:cs typeface="Tahoma"/>
                  </a:defRPr>
                </a:pPr>
                <a:endParaRPr lang="el-GR"/>
              </a:p>
            </c:txPr>
            <c:showLegendKey val="0"/>
            <c:showVal val="1"/>
            <c:showCatName val="0"/>
            <c:showSerName val="0"/>
            <c:showPercent val="0"/>
            <c:showBubbleSize val="0"/>
            <c:showLeaderLines val="0"/>
          </c:dLbls>
          <c:cat>
            <c:strRef>
              <c:f>Sheet1!$B$1:$G$1</c:f>
              <c:strCache>
                <c:ptCount val="6"/>
                <c:pt idx="0">
                  <c:v>ΚΥΚΛΟΣ ΕΡΓΑΣΙΩΝ</c:v>
                </c:pt>
                <c:pt idx="1">
                  <c:v>ΖΗΤΗΣΗ</c:v>
                </c:pt>
                <c:pt idx="2">
                  <c:v>ΡΕΥΣΤΟΤΗΤΑ</c:v>
                </c:pt>
                <c:pt idx="3">
                  <c:v>ΠΑΡΑΓΓΕΛΙΕΣ</c:v>
                </c:pt>
                <c:pt idx="4">
                  <c:v>ΕΠΕΝΔΥΣΕΙΣ</c:v>
                </c:pt>
                <c:pt idx="5">
                  <c:v>ΑΠΑΣΧΟΛΗΣΗ</c:v>
                </c:pt>
              </c:strCache>
            </c:strRef>
          </c:cat>
          <c:val>
            <c:numRef>
              <c:f>Sheet1!$B$4:$G$4</c:f>
              <c:numCache>
                <c:formatCode>General</c:formatCode>
                <c:ptCount val="6"/>
                <c:pt idx="0">
                  <c:v>34.799999999999997</c:v>
                </c:pt>
                <c:pt idx="1">
                  <c:v>33.4</c:v>
                </c:pt>
                <c:pt idx="2">
                  <c:v>32.9</c:v>
                </c:pt>
                <c:pt idx="3">
                  <c:v>32.799999999999997</c:v>
                </c:pt>
                <c:pt idx="4">
                  <c:v>48.2</c:v>
                </c:pt>
                <c:pt idx="5">
                  <c:v>71.7</c:v>
                </c:pt>
              </c:numCache>
            </c:numRef>
          </c:val>
        </c:ser>
        <c:ser>
          <c:idx val="3"/>
          <c:order val="3"/>
          <c:tx>
            <c:strRef>
              <c:f>Sheet1!$A$5</c:f>
              <c:strCache>
                <c:ptCount val="1"/>
                <c:pt idx="0">
                  <c:v>ΔΑ</c:v>
                </c:pt>
              </c:strCache>
            </c:strRef>
          </c:tx>
          <c:spPr>
            <a:gradFill rotWithShape="0">
              <a:gsLst>
                <a:gs pos="0">
                  <a:srgbClr val="D1C39F"/>
                </a:gs>
                <a:gs pos="35001">
                  <a:srgbClr val="F0EBD5"/>
                </a:gs>
                <a:gs pos="100000">
                  <a:srgbClr val="FFEFD1"/>
                </a:gs>
              </a:gsLst>
              <a:lin ang="2700000" scaled="1"/>
            </a:gradFill>
            <a:ln w="25402">
              <a:noFill/>
            </a:ln>
          </c:spPr>
          <c:invertIfNegative val="0"/>
          <c:dLbls>
            <c:dLbl>
              <c:idx val="0"/>
              <c:layout>
                <c:manualLayout>
                  <c:x val="1.4718436474931719E-2"/>
                  <c:y val="-2.7555669266611281E-3"/>
                </c:manualLayout>
              </c:layout>
              <c:showLegendKey val="0"/>
              <c:showVal val="1"/>
              <c:showCatName val="0"/>
              <c:showSerName val="0"/>
              <c:showPercent val="0"/>
              <c:showBubbleSize val="0"/>
            </c:dLbl>
            <c:dLbl>
              <c:idx val="1"/>
              <c:layout>
                <c:manualLayout>
                  <c:x val="1.4875765607042683E-2"/>
                  <c:y val="2.3086266839464965E-3"/>
                </c:manualLayout>
              </c:layout>
              <c:showLegendKey val="0"/>
              <c:showVal val="1"/>
              <c:showCatName val="0"/>
              <c:showSerName val="0"/>
              <c:showPercent val="0"/>
              <c:showBubbleSize val="0"/>
            </c:dLbl>
            <c:spPr>
              <a:noFill/>
              <a:ln w="25402">
                <a:noFill/>
              </a:ln>
            </c:spPr>
            <c:txPr>
              <a:bodyPr/>
              <a:lstStyle/>
              <a:p>
                <a:pPr>
                  <a:defRPr sz="850" b="1" i="0" u="none" strike="noStrike" baseline="0">
                    <a:solidFill>
                      <a:srgbClr val="000000"/>
                    </a:solidFill>
                    <a:latin typeface="Tahoma"/>
                    <a:ea typeface="Tahoma"/>
                    <a:cs typeface="Tahoma"/>
                  </a:defRPr>
                </a:pPr>
                <a:endParaRPr lang="el-GR"/>
              </a:p>
            </c:txPr>
            <c:showLegendKey val="0"/>
            <c:showVal val="1"/>
            <c:showCatName val="0"/>
            <c:showSerName val="0"/>
            <c:showPercent val="0"/>
            <c:showBubbleSize val="0"/>
            <c:showLeaderLines val="0"/>
          </c:dLbls>
          <c:cat>
            <c:strRef>
              <c:f>Sheet1!$B$1:$G$1</c:f>
              <c:strCache>
                <c:ptCount val="6"/>
                <c:pt idx="0">
                  <c:v>ΚΥΚΛΟΣ ΕΡΓΑΣΙΩΝ</c:v>
                </c:pt>
                <c:pt idx="1">
                  <c:v>ΖΗΤΗΣΗ</c:v>
                </c:pt>
                <c:pt idx="2">
                  <c:v>ΡΕΥΣΤΟΤΗΤΑ</c:v>
                </c:pt>
                <c:pt idx="3">
                  <c:v>ΠΑΡΑΓΓΕΛΙΕΣ</c:v>
                </c:pt>
                <c:pt idx="4">
                  <c:v>ΕΠΕΝΔΥΣΕΙΣ</c:v>
                </c:pt>
                <c:pt idx="5">
                  <c:v>ΑΠΑΣΧΟΛΗΣΗ</c:v>
                </c:pt>
              </c:strCache>
            </c:strRef>
          </c:cat>
          <c:val>
            <c:numRef>
              <c:f>Sheet1!$B$5:$G$5</c:f>
              <c:numCache>
                <c:formatCode>General</c:formatCode>
                <c:ptCount val="6"/>
                <c:pt idx="0">
                  <c:v>11.3</c:v>
                </c:pt>
                <c:pt idx="1">
                  <c:v>10.199999999999999</c:v>
                </c:pt>
                <c:pt idx="2">
                  <c:v>10.3</c:v>
                </c:pt>
                <c:pt idx="3">
                  <c:v>11.6</c:v>
                </c:pt>
                <c:pt idx="4">
                  <c:v>13</c:v>
                </c:pt>
                <c:pt idx="5">
                  <c:v>2.9</c:v>
                </c:pt>
              </c:numCache>
            </c:numRef>
          </c:val>
        </c:ser>
        <c:dLbls>
          <c:showLegendKey val="0"/>
          <c:showVal val="1"/>
          <c:showCatName val="0"/>
          <c:showSerName val="0"/>
          <c:showPercent val="0"/>
          <c:showBubbleSize val="0"/>
        </c:dLbls>
        <c:gapWidth val="70"/>
        <c:gapDepth val="0"/>
        <c:shape val="box"/>
        <c:axId val="111503616"/>
        <c:axId val="111525888"/>
        <c:axId val="0"/>
      </c:bar3DChart>
      <c:catAx>
        <c:axId val="111503616"/>
        <c:scaling>
          <c:orientation val="maxMin"/>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Tahoma"/>
                <a:ea typeface="Tahoma"/>
                <a:cs typeface="Tahoma"/>
              </a:defRPr>
            </a:pPr>
            <a:endParaRPr lang="el-GR"/>
          </a:p>
        </c:txPr>
        <c:crossAx val="111525888"/>
        <c:crosses val="autoZero"/>
        <c:auto val="1"/>
        <c:lblAlgn val="ctr"/>
        <c:lblOffset val="100"/>
        <c:tickLblSkip val="1"/>
        <c:tickMarkSkip val="1"/>
        <c:noMultiLvlLbl val="0"/>
      </c:catAx>
      <c:valAx>
        <c:axId val="111525888"/>
        <c:scaling>
          <c:orientation val="minMax"/>
          <c:max val="100"/>
          <c:min val="0"/>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1" i="0" u="none" strike="noStrike" baseline="0">
                <a:solidFill>
                  <a:srgbClr val="000000"/>
                </a:solidFill>
                <a:latin typeface="Times New Roman"/>
                <a:ea typeface="Times New Roman"/>
                <a:cs typeface="Times New Roman"/>
              </a:defRPr>
            </a:pPr>
            <a:endParaRPr lang="el-GR"/>
          </a:p>
        </c:txPr>
        <c:crossAx val="111503616"/>
        <c:crosses val="max"/>
        <c:crossBetween val="between"/>
      </c:valAx>
      <c:spPr>
        <a:noFill/>
        <a:ln w="25402">
          <a:noFill/>
        </a:ln>
      </c:spPr>
    </c:plotArea>
    <c:legend>
      <c:legendPos val="r"/>
      <c:layout>
        <c:manualLayout>
          <c:xMode val="edge"/>
          <c:yMode val="edge"/>
          <c:x val="0.20149253731343283"/>
          <c:y val="4.4905008635578586E-2"/>
          <c:w val="0.79477611940298509"/>
          <c:h val="3.1088082901554404E-2"/>
        </c:manualLayout>
      </c:layout>
      <c:overlay val="0"/>
      <c:spPr>
        <a:noFill/>
        <a:ln w="25402">
          <a:noFill/>
        </a:ln>
      </c:spPr>
      <c:txPr>
        <a:bodyPr/>
        <a:lstStyle/>
        <a:p>
          <a:pPr>
            <a:defRPr sz="825" b="1" i="0" u="none" strike="noStrike" baseline="0">
              <a:solidFill>
                <a:srgbClr val="000000"/>
              </a:solidFill>
              <a:latin typeface="Tahoma"/>
              <a:ea typeface="Tahoma"/>
              <a:cs typeface="Tahoma"/>
            </a:defRPr>
          </a:pPr>
          <a:endParaRPr lang="el-GR"/>
        </a:p>
      </c:txPr>
    </c:legend>
    <c:plotVisOnly val="1"/>
    <c:dispBlanksAs val="gap"/>
    <c:showDLblsOverMax val="0"/>
  </c:chart>
  <c:spPr>
    <a:noFill/>
    <a:ln>
      <a:noFill/>
    </a:ln>
  </c:spPr>
  <c:txPr>
    <a:bodyPr/>
    <a:lstStyle/>
    <a:p>
      <a:pPr>
        <a:defRPr sz="2075" b="1" i="0" u="none" strike="noStrike" baseline="0">
          <a:solidFill>
            <a:srgbClr val="000000"/>
          </a:solidFill>
          <a:latin typeface="Times New Roman"/>
          <a:ea typeface="Times New Roman"/>
          <a:cs typeface="Times New Roman"/>
        </a:defRPr>
      </a:pPr>
      <a:endParaRPr lang="el-G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2010" b="1" i="0" u="none" strike="noStrike" baseline="0">
              <a:solidFill>
                <a:srgbClr val="000000"/>
              </a:solidFill>
              <a:latin typeface="Times New Roman"/>
              <a:ea typeface="Times New Roman"/>
              <a:cs typeface="Times New Roman"/>
            </a:defRPr>
          </a:pPr>
          <a:endParaRPr lang="el-GR"/>
        </a:p>
      </c:txPr>
    </c:title>
    <c:autoTitleDeleted val="0"/>
    <c:view3D>
      <c:rotX val="15"/>
      <c:hPercent val="72"/>
      <c:rotY val="20"/>
      <c:depthPercent val="60"/>
      <c:rAngAx val="1"/>
    </c:view3D>
    <c:floor>
      <c:thickness val="0"/>
      <c:spPr>
        <a:solidFill>
          <a:srgbClr val="C0C0C0"/>
        </a:solidFill>
        <a:ln w="3175">
          <a:solidFill>
            <a:schemeClr val="tx1"/>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5.5932250837163189E-2"/>
          <c:y val="7.5863361907347786E-3"/>
          <c:w val="0.96178338823585485"/>
          <c:h val="0.75025499446202915"/>
        </c:manualLayout>
      </c:layout>
      <c:bar3DChart>
        <c:barDir val="col"/>
        <c:grouping val="clustered"/>
        <c:varyColors val="0"/>
        <c:ser>
          <c:idx val="1"/>
          <c:order val="0"/>
          <c:tx>
            <c:strRef>
              <c:f>Sheet1!$A$2</c:f>
              <c:strCache>
                <c:ptCount val="1"/>
              </c:strCache>
            </c:strRef>
          </c:tx>
          <c:spPr>
            <a:gradFill rotWithShape="0">
              <a:gsLst>
                <a:gs pos="0">
                  <a:srgbClr val="339966"/>
                </a:gs>
                <a:gs pos="100000">
                  <a:srgbClr val="339966">
                    <a:gamma/>
                    <a:tint val="63922"/>
                    <a:invGamma/>
                  </a:srgbClr>
                </a:gs>
              </a:gsLst>
              <a:lin ang="2700000" scaled="1"/>
            </a:gradFill>
            <a:ln w="23655">
              <a:noFill/>
            </a:ln>
          </c:spPr>
          <c:invertIfNegative val="0"/>
          <c:dPt>
            <c:idx val="0"/>
            <c:invertIfNegative val="0"/>
            <c:bubble3D val="0"/>
            <c:spPr>
              <a:solidFill>
                <a:schemeClr val="accent2">
                  <a:lumMod val="20000"/>
                  <a:lumOff val="80000"/>
                </a:schemeClr>
              </a:soli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Pt>
            <c:idx val="1"/>
            <c:invertIfNegative val="0"/>
            <c:bubble3D val="0"/>
            <c:spPr>
              <a:solidFill>
                <a:schemeClr val="accent2">
                  <a:lumMod val="40000"/>
                  <a:lumOff val="60000"/>
                </a:schemeClr>
              </a:solidFill>
              <a:ln w="23655">
                <a:noFill/>
              </a:ln>
            </c:spPr>
          </c:dPt>
          <c:dPt>
            <c:idx val="2"/>
            <c:invertIfNegative val="0"/>
            <c:bubble3D val="0"/>
            <c:spPr>
              <a:solidFill>
                <a:schemeClr val="accent2">
                  <a:lumMod val="60000"/>
                  <a:lumOff val="40000"/>
                </a:schemeClr>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3"/>
            <c:invertIfNegative val="0"/>
            <c:bubble3D val="0"/>
            <c:spPr>
              <a:solidFill>
                <a:schemeClr val="accent2"/>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4"/>
            <c:invertIfNegative val="0"/>
            <c:bubble3D val="0"/>
            <c:spPr>
              <a:solidFill>
                <a:schemeClr val="accent2">
                  <a:lumMod val="75000"/>
                </a:schemeClr>
              </a:solidFill>
              <a:ln w="23655">
                <a:noFill/>
              </a:ln>
            </c:spPr>
          </c:dPt>
          <c:dPt>
            <c:idx val="5"/>
            <c:invertIfNegative val="0"/>
            <c:bubble3D val="0"/>
            <c:spPr>
              <a:solidFill>
                <a:srgbClr val="C00000"/>
              </a:solidFill>
              <a:ln w="23655">
                <a:noFill/>
              </a:ln>
            </c:spPr>
          </c:dPt>
          <c:dPt>
            <c:idx val="6"/>
            <c:invertIfNegative val="0"/>
            <c:bubble3D val="0"/>
            <c:spPr>
              <a:solidFill>
                <a:srgbClr val="9A0000"/>
              </a:solidFill>
              <a:ln w="23655">
                <a:noFill/>
              </a:ln>
            </c:spPr>
          </c:dPt>
          <c:dPt>
            <c:idx val="7"/>
            <c:invertIfNegative val="0"/>
            <c:bubble3D val="0"/>
            <c:spPr>
              <a:solidFill>
                <a:srgbClr val="760000"/>
              </a:solidFill>
              <a:ln w="23655">
                <a:noFill/>
              </a:ln>
            </c:spPr>
          </c:dPt>
          <c:dPt>
            <c:idx val="8"/>
            <c:invertIfNegative val="0"/>
            <c:bubble3D val="0"/>
            <c:spPr>
              <a:solidFill>
                <a:srgbClr val="5C0000"/>
              </a:solidFill>
              <a:ln w="23655">
                <a:noFill/>
              </a:ln>
            </c:spPr>
          </c:dPt>
          <c:dLbls>
            <c:dLbl>
              <c:idx val="0"/>
              <c:layout>
                <c:manualLayout>
                  <c:x val="2.0764174615886858E-3"/>
                  <c:y val="-1.225880575967014E-2"/>
                </c:manualLayout>
              </c:layout>
              <c:showLegendKey val="0"/>
              <c:showVal val="1"/>
              <c:showCatName val="0"/>
              <c:showSerName val="0"/>
              <c:showPercent val="0"/>
              <c:showBubbleSize val="0"/>
            </c:dLbl>
            <c:dLbl>
              <c:idx val="1"/>
              <c:layout>
                <c:manualLayout>
                  <c:x val="4.2433696096885153E-3"/>
                  <c:y val="-1.5501450758080283E-2"/>
                </c:manualLayout>
              </c:layout>
              <c:showLegendKey val="0"/>
              <c:showVal val="1"/>
              <c:showCatName val="0"/>
              <c:showSerName val="0"/>
              <c:showPercent val="0"/>
              <c:showBubbleSize val="0"/>
            </c:dLbl>
            <c:dLbl>
              <c:idx val="2"/>
              <c:layout>
                <c:manualLayout>
                  <c:x val="2.1216848048442576E-3"/>
                  <c:y val="-2.6741119887001501E-2"/>
                </c:manualLayout>
              </c:layout>
              <c:showLegendKey val="0"/>
              <c:showVal val="1"/>
              <c:showCatName val="0"/>
              <c:showSerName val="0"/>
              <c:showPercent val="0"/>
              <c:showBubbleSize val="0"/>
            </c:dLbl>
            <c:dLbl>
              <c:idx val="3"/>
              <c:layout>
                <c:manualLayout>
                  <c:x val="3.927288692305418E-3"/>
                  <c:y val="-2.828568937891093E-2"/>
                </c:manualLayout>
              </c:layout>
              <c:showLegendKey val="0"/>
              <c:showVal val="1"/>
              <c:showCatName val="0"/>
              <c:showSerName val="0"/>
              <c:showPercent val="0"/>
              <c:showBubbleSize val="0"/>
            </c:dLbl>
            <c:dLbl>
              <c:idx val="4"/>
              <c:layout>
                <c:manualLayout>
                  <c:x val="-1.3030820061248196E-5"/>
                  <c:y val="-3.3948668342586884E-2"/>
                </c:manualLayout>
              </c:layout>
              <c:showLegendKey val="0"/>
              <c:showVal val="1"/>
              <c:showCatName val="0"/>
              <c:showSerName val="0"/>
              <c:showPercent val="0"/>
              <c:showBubbleSize val="0"/>
            </c:dLbl>
            <c:dLbl>
              <c:idx val="5"/>
              <c:layout>
                <c:manualLayout>
                  <c:x val="-1.6706179565702815E-7"/>
                  <c:y val="-2.8711602037831664E-2"/>
                </c:manualLayout>
              </c:layout>
              <c:showLegendKey val="0"/>
              <c:showVal val="1"/>
              <c:showCatName val="0"/>
              <c:showSerName val="0"/>
              <c:showPercent val="0"/>
              <c:showBubbleSize val="0"/>
            </c:dLbl>
            <c:dLbl>
              <c:idx val="6"/>
              <c:layout>
                <c:manualLayout>
                  <c:x val="0"/>
                  <c:y val="-2.8099172822303044E-2"/>
                </c:manualLayout>
              </c:layout>
              <c:showLegendKey val="0"/>
              <c:showVal val="1"/>
              <c:showCatName val="0"/>
              <c:showSerName val="0"/>
              <c:showPercent val="0"/>
              <c:showBubbleSize val="0"/>
            </c:dLbl>
            <c:txPr>
              <a:bodyPr/>
              <a:lstStyle/>
              <a:p>
                <a:pPr>
                  <a:defRPr sz="800" b="1" i="0" u="none" strike="noStrike" baseline="0">
                    <a:solidFill>
                      <a:srgbClr val="000000"/>
                    </a:solidFill>
                    <a:latin typeface="Tahoma"/>
                    <a:ea typeface="Tahoma"/>
                    <a:cs typeface="Tahoma"/>
                  </a:defRPr>
                </a:pPr>
                <a:endParaRPr lang="el-GR"/>
              </a:p>
            </c:txPr>
            <c:showLegendKey val="0"/>
            <c:showVal val="1"/>
            <c:showCatName val="0"/>
            <c:showSerName val="0"/>
            <c:showPercent val="0"/>
            <c:showBubbleSize val="0"/>
            <c:showLeaderLines val="0"/>
          </c:dLbls>
          <c:cat>
            <c:strRef>
              <c:f>Sheet1!$B$1:$K$1</c:f>
              <c:strCache>
                <c:ptCount val="10"/>
                <c:pt idx="0">
                  <c:v>Ιούλιος 2010</c:v>
                </c:pt>
                <c:pt idx="1">
                  <c:v>Ιανουάριος 2011</c:v>
                </c:pt>
                <c:pt idx="2">
                  <c:v>Ιούλιος 2011</c:v>
                </c:pt>
                <c:pt idx="3">
                  <c:v>Ιανουάριος 2012</c:v>
                </c:pt>
                <c:pt idx="4">
                  <c:v>Ιούλιος 2012</c:v>
                </c:pt>
                <c:pt idx="5">
                  <c:v>Ιανουάριος 2013</c:v>
                </c:pt>
                <c:pt idx="6">
                  <c:v>Ιούλιος 2013</c:v>
                </c:pt>
                <c:pt idx="7">
                  <c:v>Φεβρουάριος 2014</c:v>
                </c:pt>
                <c:pt idx="8">
                  <c:v>Ιούλιος 2014</c:v>
                </c:pt>
                <c:pt idx="9">
                  <c:v>Φεβρουάριος 2015</c:v>
                </c:pt>
              </c:strCache>
            </c:strRef>
          </c:cat>
          <c:val>
            <c:numRef>
              <c:f>Sheet1!$B$2:$K$2</c:f>
              <c:numCache>
                <c:formatCode>General</c:formatCode>
                <c:ptCount val="10"/>
                <c:pt idx="0">
                  <c:v>15</c:v>
                </c:pt>
                <c:pt idx="1">
                  <c:v>15.6</c:v>
                </c:pt>
                <c:pt idx="2">
                  <c:v>19.399999999999999</c:v>
                </c:pt>
                <c:pt idx="3">
                  <c:v>28.6</c:v>
                </c:pt>
                <c:pt idx="4">
                  <c:v>33.200000000000003</c:v>
                </c:pt>
                <c:pt idx="5">
                  <c:v>43.6</c:v>
                </c:pt>
                <c:pt idx="6">
                  <c:v>49.3</c:v>
                </c:pt>
                <c:pt idx="7">
                  <c:v>43.5</c:v>
                </c:pt>
                <c:pt idx="8">
                  <c:v>38.5</c:v>
                </c:pt>
                <c:pt idx="9">
                  <c:v>33.9</c:v>
                </c:pt>
              </c:numCache>
            </c:numRef>
          </c:val>
        </c:ser>
        <c:dLbls>
          <c:showLegendKey val="0"/>
          <c:showVal val="0"/>
          <c:showCatName val="0"/>
          <c:showSerName val="0"/>
          <c:showPercent val="0"/>
          <c:showBubbleSize val="0"/>
        </c:dLbls>
        <c:gapWidth val="150"/>
        <c:shape val="box"/>
        <c:axId val="113070464"/>
        <c:axId val="113072000"/>
        <c:axId val="0"/>
      </c:bar3DChart>
      <c:catAx>
        <c:axId val="113070464"/>
        <c:scaling>
          <c:orientation val="minMax"/>
        </c:scaling>
        <c:delete val="0"/>
        <c:axPos val="b"/>
        <c:numFmt formatCode="General" sourceLinked="1"/>
        <c:majorTickMark val="out"/>
        <c:minorTickMark val="none"/>
        <c:tickLblPos val="nextTo"/>
        <c:spPr>
          <a:ln w="2957">
            <a:solidFill>
              <a:schemeClr val="tx1"/>
            </a:solidFill>
            <a:prstDash val="solid"/>
          </a:ln>
        </c:spPr>
        <c:txPr>
          <a:bodyPr rot="2700000" vert="horz"/>
          <a:lstStyle/>
          <a:p>
            <a:pPr>
              <a:defRPr sz="700" b="1" i="0" u="none" strike="noStrike" baseline="0">
                <a:solidFill>
                  <a:srgbClr val="000000"/>
                </a:solidFill>
                <a:latin typeface="Tahoma"/>
                <a:ea typeface="Tahoma"/>
                <a:cs typeface="Tahoma"/>
              </a:defRPr>
            </a:pPr>
            <a:endParaRPr lang="el-GR"/>
          </a:p>
        </c:txPr>
        <c:crossAx val="113072000"/>
        <c:crosses val="autoZero"/>
        <c:auto val="1"/>
        <c:lblAlgn val="ctr"/>
        <c:lblOffset val="100"/>
        <c:tickLblSkip val="1"/>
        <c:tickMarkSkip val="1"/>
        <c:noMultiLvlLbl val="0"/>
      </c:catAx>
      <c:valAx>
        <c:axId val="113072000"/>
        <c:scaling>
          <c:orientation val="minMax"/>
          <c:max val="50"/>
          <c:min val="0"/>
        </c:scaling>
        <c:delete val="0"/>
        <c:axPos val="l"/>
        <c:majorGridlines/>
        <c:numFmt formatCode="General" sourceLinked="1"/>
        <c:majorTickMark val="none"/>
        <c:minorTickMark val="none"/>
        <c:tickLblPos val="nextTo"/>
        <c:txPr>
          <a:bodyPr rot="0" vert="horz"/>
          <a:lstStyle/>
          <a:p>
            <a:pPr>
              <a:defRPr sz="600" b="1" i="0" u="none" strike="noStrike" baseline="0">
                <a:solidFill>
                  <a:srgbClr val="000000"/>
                </a:solidFill>
                <a:latin typeface="Times New Roman"/>
                <a:ea typeface="Times New Roman"/>
                <a:cs typeface="Times New Roman"/>
              </a:defRPr>
            </a:pPr>
            <a:endParaRPr lang="el-GR"/>
          </a:p>
        </c:txPr>
        <c:crossAx val="113070464"/>
        <c:crosses val="autoZero"/>
        <c:crossBetween val="between"/>
      </c:valAx>
      <c:spPr>
        <a:noFill/>
        <a:ln w="25400">
          <a:noFill/>
        </a:ln>
      </c:spPr>
    </c:plotArea>
    <c:plotVisOnly val="1"/>
    <c:dispBlanksAs val="gap"/>
    <c:showDLblsOverMax val="0"/>
  </c:chart>
  <c:spPr>
    <a:noFill/>
    <a:ln>
      <a:noFill/>
    </a:ln>
  </c:spPr>
  <c:txPr>
    <a:bodyPr/>
    <a:lstStyle/>
    <a:p>
      <a:pPr>
        <a:defRPr sz="1675" b="1" i="0" u="none" strike="noStrike" baseline="0">
          <a:solidFill>
            <a:srgbClr val="000000"/>
          </a:solidFill>
          <a:latin typeface="Times New Roman"/>
          <a:ea typeface="Times New Roman"/>
          <a:cs typeface="Times New Roman"/>
        </a:defRPr>
      </a:pPr>
      <a:endParaRPr lang="el-G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2010" b="1" i="0" u="none" strike="noStrike" baseline="0">
              <a:solidFill>
                <a:srgbClr val="000000"/>
              </a:solidFill>
              <a:latin typeface="Times New Roman"/>
              <a:ea typeface="Times New Roman"/>
              <a:cs typeface="Times New Roman"/>
            </a:defRPr>
          </a:pPr>
          <a:endParaRPr lang="el-GR"/>
        </a:p>
      </c:txPr>
    </c:title>
    <c:autoTitleDeleted val="0"/>
    <c:view3D>
      <c:rotX val="15"/>
      <c:hPercent val="72"/>
      <c:rotY val="20"/>
      <c:depthPercent val="60"/>
      <c:rAngAx val="1"/>
    </c:view3D>
    <c:floor>
      <c:thickness val="0"/>
      <c:spPr>
        <a:solidFill>
          <a:srgbClr val="C0C0C0"/>
        </a:solidFill>
        <a:ln w="3175">
          <a:solidFill>
            <a:schemeClr val="tx1"/>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3.0229746070133012E-2"/>
          <c:y val="0.10371819960861056"/>
          <c:w val="0.9074026015673865"/>
          <c:h val="0.75728018962449883"/>
        </c:manualLayout>
      </c:layout>
      <c:bar3DChart>
        <c:barDir val="col"/>
        <c:grouping val="clustered"/>
        <c:varyColors val="0"/>
        <c:ser>
          <c:idx val="1"/>
          <c:order val="0"/>
          <c:tx>
            <c:strRef>
              <c:f>Sheet1!$A$2</c:f>
              <c:strCache>
                <c:ptCount val="1"/>
              </c:strCache>
            </c:strRef>
          </c:tx>
          <c:spPr>
            <a:gradFill rotWithShape="0">
              <a:gsLst>
                <a:gs pos="0">
                  <a:srgbClr val="339966"/>
                </a:gs>
                <a:gs pos="100000">
                  <a:srgbClr val="339966">
                    <a:gamma/>
                    <a:tint val="63922"/>
                    <a:invGamma/>
                  </a:srgbClr>
                </a:gs>
              </a:gsLst>
              <a:lin ang="2700000" scaled="1"/>
            </a:gradFill>
            <a:ln w="23655">
              <a:noFill/>
            </a:ln>
          </c:spPr>
          <c:invertIfNegative val="0"/>
          <c:dPt>
            <c:idx val="0"/>
            <c:invertIfNegative val="0"/>
            <c:bubble3D val="0"/>
            <c:spPr>
              <a:solidFill>
                <a:schemeClr val="accent2">
                  <a:lumMod val="20000"/>
                  <a:lumOff val="80000"/>
                </a:schemeClr>
              </a:soli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Pt>
            <c:idx val="1"/>
            <c:invertIfNegative val="0"/>
            <c:bubble3D val="0"/>
            <c:spPr>
              <a:solidFill>
                <a:schemeClr val="accent2">
                  <a:lumMod val="40000"/>
                  <a:lumOff val="60000"/>
                </a:schemeClr>
              </a:solidFill>
              <a:ln w="23655">
                <a:noFill/>
              </a:ln>
            </c:spPr>
          </c:dPt>
          <c:dPt>
            <c:idx val="2"/>
            <c:invertIfNegative val="0"/>
            <c:bubble3D val="0"/>
            <c:spPr>
              <a:solidFill>
                <a:schemeClr val="accent2">
                  <a:lumMod val="60000"/>
                  <a:lumOff val="40000"/>
                </a:schemeClr>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3"/>
            <c:invertIfNegative val="0"/>
            <c:bubble3D val="0"/>
            <c:spPr>
              <a:solidFill>
                <a:schemeClr val="accent2"/>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4"/>
            <c:invertIfNegative val="0"/>
            <c:bubble3D val="0"/>
            <c:spPr>
              <a:solidFill>
                <a:srgbClr val="B94441"/>
              </a:solidFill>
              <a:ln w="23655">
                <a:noFill/>
              </a:ln>
            </c:spPr>
          </c:dPt>
          <c:dPt>
            <c:idx val="5"/>
            <c:invertIfNegative val="0"/>
            <c:bubble3D val="0"/>
            <c:spPr>
              <a:solidFill>
                <a:srgbClr val="CC0000"/>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6"/>
            <c:invertIfNegative val="0"/>
            <c:bubble3D val="0"/>
            <c:spPr>
              <a:solidFill>
                <a:srgbClr val="9A0000"/>
              </a:solidFill>
              <a:ln w="23655">
                <a:noFill/>
              </a:ln>
            </c:spPr>
          </c:dPt>
          <c:dPt>
            <c:idx val="7"/>
            <c:invertIfNegative val="0"/>
            <c:bubble3D val="0"/>
            <c:spPr>
              <a:solidFill>
                <a:srgbClr val="740000"/>
              </a:solidFill>
              <a:ln w="23655">
                <a:noFill/>
              </a:ln>
            </c:spPr>
          </c:dPt>
          <c:dPt>
            <c:idx val="8"/>
            <c:invertIfNegative val="0"/>
            <c:bubble3D val="0"/>
            <c:spPr>
              <a:solidFill>
                <a:srgbClr val="600000"/>
              </a:solidFill>
              <a:ln w="23655">
                <a:noFill/>
              </a:ln>
            </c:spPr>
          </c:dPt>
          <c:dLbls>
            <c:dLbl>
              <c:idx val="0"/>
              <c:layout>
                <c:manualLayout>
                  <c:x val="6.9007299721462086E-3"/>
                  <c:y val="-1.0418731887793327E-2"/>
                </c:manualLayout>
              </c:layout>
              <c:showLegendKey val="0"/>
              <c:showVal val="1"/>
              <c:showCatName val="0"/>
              <c:showSerName val="0"/>
              <c:showPercent val="0"/>
              <c:showBubbleSize val="0"/>
            </c:dLbl>
            <c:dLbl>
              <c:idx val="1"/>
              <c:layout>
                <c:manualLayout>
                  <c:x val="4.8244889769655666E-3"/>
                  <c:y val="-1.5235018859860198E-2"/>
                </c:manualLayout>
              </c:layout>
              <c:showLegendKey val="0"/>
              <c:showVal val="1"/>
              <c:showCatName val="0"/>
              <c:showSerName val="0"/>
              <c:showPercent val="0"/>
              <c:showBubbleSize val="0"/>
            </c:dLbl>
            <c:dLbl>
              <c:idx val="2"/>
              <c:layout>
                <c:manualLayout>
                  <c:x val="8.1671060073806E-3"/>
                  <c:y val="-1.523522755588984E-2"/>
                </c:manualLayout>
              </c:layout>
              <c:showLegendKey val="0"/>
              <c:showVal val="1"/>
              <c:showCatName val="0"/>
              <c:showSerName val="0"/>
              <c:showPercent val="0"/>
              <c:showBubbleSize val="0"/>
            </c:dLbl>
            <c:dLbl>
              <c:idx val="3"/>
              <c:layout>
                <c:manualLayout>
                  <c:x val="-2.1216085554577242E-3"/>
                  <c:y val="-6.2948983420770014E-3"/>
                </c:manualLayout>
              </c:layout>
              <c:showLegendKey val="0"/>
              <c:showVal val="1"/>
              <c:showCatName val="0"/>
              <c:showSerName val="0"/>
              <c:showPercent val="0"/>
              <c:showBubbleSize val="0"/>
            </c:dLbl>
            <c:dLbl>
              <c:idx val="4"/>
              <c:layout>
                <c:manualLayout>
                  <c:x val="-6.3652798542902234E-3"/>
                  <c:y val="-2.8410006048870579E-2"/>
                </c:manualLayout>
              </c:layout>
              <c:showLegendKey val="0"/>
              <c:showVal val="1"/>
              <c:showCatName val="0"/>
              <c:showSerName val="0"/>
              <c:showPercent val="0"/>
              <c:showBubbleSize val="0"/>
            </c:dLbl>
            <c:dLbl>
              <c:idx val="5"/>
              <c:layout>
                <c:manualLayout>
                  <c:x val="3.9234838289626773E-3"/>
                  <c:y val="-4.7465824981666052E-3"/>
                </c:manualLayout>
              </c:layout>
              <c:showLegendKey val="0"/>
              <c:showVal val="1"/>
              <c:showCatName val="0"/>
              <c:showSerName val="0"/>
              <c:showPercent val="0"/>
              <c:showBubbleSize val="0"/>
            </c:dLbl>
            <c:dLbl>
              <c:idx val="6"/>
              <c:layout>
                <c:manualLayout>
                  <c:x val="3.4295713391485315E-3"/>
                  <c:y val="-1.3506145401920109E-2"/>
                </c:manualLayout>
              </c:layout>
              <c:showLegendKey val="0"/>
              <c:showVal val="1"/>
              <c:showCatName val="0"/>
              <c:showSerName val="0"/>
              <c:showPercent val="0"/>
              <c:showBubbleSize val="0"/>
            </c:dLbl>
            <c:txPr>
              <a:bodyPr/>
              <a:lstStyle/>
              <a:p>
                <a:pPr>
                  <a:defRPr sz="800" b="1" i="0" u="none" strike="noStrike" baseline="0">
                    <a:solidFill>
                      <a:srgbClr val="000000"/>
                    </a:solidFill>
                    <a:latin typeface="Tahoma"/>
                    <a:ea typeface="Tahoma"/>
                    <a:cs typeface="Tahoma"/>
                  </a:defRPr>
                </a:pPr>
                <a:endParaRPr lang="el-GR"/>
              </a:p>
            </c:txPr>
            <c:showLegendKey val="0"/>
            <c:showVal val="1"/>
            <c:showCatName val="0"/>
            <c:showSerName val="0"/>
            <c:showPercent val="0"/>
            <c:showBubbleSize val="0"/>
            <c:showLeaderLines val="0"/>
          </c:dLbls>
          <c:cat>
            <c:strRef>
              <c:f>Sheet1!$B$1:$K$1</c:f>
              <c:strCache>
                <c:ptCount val="10"/>
                <c:pt idx="0">
                  <c:v>Ιούλιος 2010</c:v>
                </c:pt>
                <c:pt idx="1">
                  <c:v>Ιανουάριος 2011</c:v>
                </c:pt>
                <c:pt idx="2">
                  <c:v>Ιούλιος 2011</c:v>
                </c:pt>
                <c:pt idx="3">
                  <c:v>Ιανουάριος 2012</c:v>
                </c:pt>
                <c:pt idx="4">
                  <c:v>Ιούλιος 2012</c:v>
                </c:pt>
                <c:pt idx="5">
                  <c:v>Ιανουάριος 2013</c:v>
                </c:pt>
                <c:pt idx="6">
                  <c:v>Ιούλιος 2013</c:v>
                </c:pt>
                <c:pt idx="7">
                  <c:v>Φεβρουάριος 2014</c:v>
                </c:pt>
                <c:pt idx="8">
                  <c:v>Ιούλιος 2014</c:v>
                </c:pt>
                <c:pt idx="9">
                  <c:v>Φεβρουάριος 2015</c:v>
                </c:pt>
              </c:strCache>
            </c:strRef>
          </c:cat>
          <c:val>
            <c:numRef>
              <c:f>Sheet1!$B$2:$K$2</c:f>
              <c:numCache>
                <c:formatCode>General</c:formatCode>
                <c:ptCount val="10"/>
                <c:pt idx="0">
                  <c:v>30</c:v>
                </c:pt>
                <c:pt idx="1">
                  <c:v>30.2</c:v>
                </c:pt>
                <c:pt idx="2">
                  <c:v>32</c:v>
                </c:pt>
                <c:pt idx="3">
                  <c:v>37.4</c:v>
                </c:pt>
                <c:pt idx="4">
                  <c:v>40.5</c:v>
                </c:pt>
                <c:pt idx="5">
                  <c:v>47.7</c:v>
                </c:pt>
                <c:pt idx="6">
                  <c:v>50.5</c:v>
                </c:pt>
                <c:pt idx="7">
                  <c:v>47.7</c:v>
                </c:pt>
                <c:pt idx="8">
                  <c:v>42.7</c:v>
                </c:pt>
                <c:pt idx="9">
                  <c:v>43</c:v>
                </c:pt>
              </c:numCache>
            </c:numRef>
          </c:val>
        </c:ser>
        <c:dLbls>
          <c:showLegendKey val="0"/>
          <c:showVal val="0"/>
          <c:showCatName val="0"/>
          <c:showSerName val="0"/>
          <c:showPercent val="0"/>
          <c:showBubbleSize val="0"/>
        </c:dLbls>
        <c:gapWidth val="150"/>
        <c:shape val="box"/>
        <c:axId val="113465216"/>
        <c:axId val="113466752"/>
        <c:axId val="0"/>
      </c:bar3DChart>
      <c:catAx>
        <c:axId val="113465216"/>
        <c:scaling>
          <c:orientation val="minMax"/>
        </c:scaling>
        <c:delete val="0"/>
        <c:axPos val="b"/>
        <c:numFmt formatCode="General" sourceLinked="1"/>
        <c:majorTickMark val="out"/>
        <c:minorTickMark val="none"/>
        <c:tickLblPos val="nextTo"/>
        <c:spPr>
          <a:ln w="2957">
            <a:solidFill>
              <a:schemeClr val="tx1"/>
            </a:solidFill>
            <a:prstDash val="solid"/>
          </a:ln>
        </c:spPr>
        <c:txPr>
          <a:bodyPr rot="2700000" vert="horz"/>
          <a:lstStyle/>
          <a:p>
            <a:pPr>
              <a:defRPr sz="700" b="1" i="0" u="none" strike="noStrike" baseline="0">
                <a:solidFill>
                  <a:srgbClr val="000000"/>
                </a:solidFill>
                <a:latin typeface="Tahoma"/>
                <a:ea typeface="Tahoma"/>
                <a:cs typeface="Tahoma"/>
              </a:defRPr>
            </a:pPr>
            <a:endParaRPr lang="el-GR"/>
          </a:p>
        </c:txPr>
        <c:crossAx val="113466752"/>
        <c:crosses val="autoZero"/>
        <c:auto val="1"/>
        <c:lblAlgn val="ctr"/>
        <c:lblOffset val="100"/>
        <c:tickLblSkip val="1"/>
        <c:tickMarkSkip val="1"/>
        <c:noMultiLvlLbl val="0"/>
      </c:catAx>
      <c:valAx>
        <c:axId val="113466752"/>
        <c:scaling>
          <c:orientation val="minMax"/>
          <c:max val="50"/>
          <c:min val="0"/>
        </c:scaling>
        <c:delete val="0"/>
        <c:axPos val="l"/>
        <c:majorGridlines/>
        <c:numFmt formatCode="General" sourceLinked="1"/>
        <c:majorTickMark val="none"/>
        <c:minorTickMark val="none"/>
        <c:tickLblPos val="nextTo"/>
        <c:txPr>
          <a:bodyPr rot="0" vert="horz"/>
          <a:lstStyle/>
          <a:p>
            <a:pPr>
              <a:defRPr sz="600" b="1" i="0" u="none" strike="noStrike" baseline="0">
                <a:solidFill>
                  <a:srgbClr val="000000"/>
                </a:solidFill>
                <a:latin typeface="Times New Roman"/>
                <a:ea typeface="Times New Roman"/>
                <a:cs typeface="Times New Roman"/>
              </a:defRPr>
            </a:pPr>
            <a:endParaRPr lang="el-GR"/>
          </a:p>
        </c:txPr>
        <c:crossAx val="113465216"/>
        <c:crosses val="autoZero"/>
        <c:crossBetween val="between"/>
      </c:valAx>
      <c:spPr>
        <a:noFill/>
        <a:ln w="25400">
          <a:noFill/>
        </a:ln>
      </c:spPr>
    </c:plotArea>
    <c:plotVisOnly val="1"/>
    <c:dispBlanksAs val="gap"/>
    <c:showDLblsOverMax val="0"/>
  </c:chart>
  <c:spPr>
    <a:noFill/>
    <a:ln>
      <a:noFill/>
    </a:ln>
  </c:spPr>
  <c:txPr>
    <a:bodyPr/>
    <a:lstStyle/>
    <a:p>
      <a:pPr>
        <a:defRPr sz="1675" b="1" i="0" u="none" strike="noStrike" baseline="0">
          <a:solidFill>
            <a:srgbClr val="000000"/>
          </a:solidFill>
          <a:latin typeface="Times New Roman"/>
          <a:ea typeface="Times New Roman"/>
          <a:cs typeface="Times New Roman"/>
        </a:defRPr>
      </a:pPr>
      <a:endParaRPr lang="el-G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depthPercent val="100"/>
      <c:rAngAx val="0"/>
      <c:perspective val="0"/>
    </c:view3D>
    <c:floor>
      <c:thickness val="0"/>
    </c:floor>
    <c:sideWall>
      <c:thickness val="0"/>
    </c:sideWall>
    <c:backWall>
      <c:thickness val="0"/>
    </c:backWall>
    <c:plotArea>
      <c:layout>
        <c:manualLayout>
          <c:layoutTarget val="inner"/>
          <c:xMode val="edge"/>
          <c:yMode val="edge"/>
          <c:x val="0"/>
          <c:y val="2.0033118912667385E-2"/>
          <c:w val="0.99417684946185603"/>
          <c:h val="0.89351469406692396"/>
        </c:manualLayout>
      </c:layout>
      <c:bar3DChart>
        <c:barDir val="col"/>
        <c:grouping val="standard"/>
        <c:varyColors val="0"/>
        <c:ser>
          <c:idx val="0"/>
          <c:order val="0"/>
          <c:tx>
            <c:strRef>
              <c:f>Sheet1!$A$2</c:f>
              <c:strCache>
                <c:ptCount val="1"/>
                <c:pt idx="0">
                  <c:v>Φεβρουάριος 2015</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7.8640569372990278E-3"/>
                  <c:y val="-2.9212601406023851E-2"/>
                </c:manualLayout>
              </c:layout>
              <c:showLegendKey val="0"/>
              <c:showVal val="1"/>
              <c:showCatName val="0"/>
              <c:showSerName val="0"/>
              <c:showPercent val="0"/>
              <c:showBubbleSize val="0"/>
            </c:dLbl>
            <c:dLbl>
              <c:idx val="1"/>
              <c:layout>
                <c:manualLayout>
                  <c:x val="-8.0173265389704915E-3"/>
                  <c:y val="-2.3346748185923496E-2"/>
                </c:manualLayout>
              </c:layout>
              <c:showLegendKey val="0"/>
              <c:showVal val="1"/>
              <c:showCatName val="0"/>
              <c:showSerName val="0"/>
              <c:showPercent val="0"/>
              <c:showBubbleSize val="0"/>
            </c:dLbl>
            <c:dLbl>
              <c:idx val="2"/>
              <c:layout>
                <c:manualLayout>
                  <c:x val="-1.1244683276473749E-3"/>
                  <c:y val="-1.9689429059651611E-2"/>
                </c:manualLayout>
              </c:layout>
              <c:showLegendKey val="0"/>
              <c:showVal val="1"/>
              <c:showCatName val="0"/>
              <c:showSerName val="0"/>
              <c:showPercent val="0"/>
              <c:showBubbleSize val="0"/>
            </c:dLbl>
            <c:dLbl>
              <c:idx val="3"/>
              <c:layout>
                <c:manualLayout>
                  <c:x val="-2.3988166407754026E-3"/>
                  <c:y val="-2.2316765597533945E-2"/>
                </c:manualLayout>
              </c:layout>
              <c:showLegendKey val="0"/>
              <c:showVal val="1"/>
              <c:showCatName val="0"/>
              <c:showSerName val="0"/>
              <c:showPercent val="0"/>
              <c:showBubbleSize val="0"/>
            </c:dLbl>
            <c:dLbl>
              <c:idx val="4"/>
              <c:layout>
                <c:manualLayout>
                  <c:x val="1.7684954039015072E-6"/>
                  <c:y val="-1.7534703580010854E-2"/>
                </c:manualLayout>
              </c:layout>
              <c:showLegendKey val="0"/>
              <c:showVal val="1"/>
              <c:showCatName val="0"/>
              <c:showSerName val="0"/>
              <c:showPercent val="0"/>
              <c:showBubbleSize val="0"/>
            </c:dLbl>
            <c:dLbl>
              <c:idx val="5"/>
              <c:layout>
                <c:manualLayout>
                  <c:x val="0"/>
                  <c:y val="-1.5808780375379368E-2"/>
                </c:manualLayout>
              </c:layout>
              <c:showLegendKey val="0"/>
              <c:showVal val="1"/>
              <c:showCatName val="0"/>
              <c:showSerName val="0"/>
              <c:showPercent val="0"/>
              <c:showBubbleSize val="0"/>
            </c:dLbl>
            <c:dLbl>
              <c:idx val="6"/>
              <c:layout>
                <c:manualLayout>
                  <c:x val="-7.4937045247986528E-3"/>
                  <c:y val="-1.2698832948300159E-2"/>
                </c:manualLayout>
              </c:layout>
              <c:showLegendKey val="0"/>
              <c:showVal val="1"/>
              <c:showCatName val="0"/>
              <c:showSerName val="0"/>
              <c:showPercent val="0"/>
              <c:showBubbleSize val="0"/>
            </c:dLbl>
            <c:txPr>
              <a:bodyPr/>
              <a:lstStyle/>
              <a:p>
                <a:pPr>
                  <a:defRPr sz="900" b="1" i="0" u="none" strike="noStrike" baseline="0">
                    <a:solidFill>
                      <a:srgbClr val="000000"/>
                    </a:solidFill>
                    <a:latin typeface="Tahoma"/>
                    <a:ea typeface="Tahoma"/>
                    <a:cs typeface="Tahoma"/>
                  </a:defRPr>
                </a:pPr>
                <a:endParaRPr lang="el-GR"/>
              </a:p>
            </c:txPr>
            <c:showLegendKey val="0"/>
            <c:showVal val="1"/>
            <c:showCatName val="0"/>
            <c:showSerName val="0"/>
            <c:showPercent val="0"/>
            <c:showBubbleSize val="0"/>
            <c:showLeaderLines val="0"/>
          </c:dLbls>
          <c:cat>
            <c:strRef>
              <c:f>Sheet1!$B$1:$J$1</c:f>
              <c:strCache>
                <c:ptCount val="7"/>
                <c:pt idx="0">
                  <c:v>Στον ΟΑΕΕ </c:v>
                </c:pt>
                <c:pt idx="1">
                  <c:v>Στην εφορία </c:v>
                </c:pt>
                <c:pt idx="2">
                  <c:v>Σε ΔΕΚΟ</c:v>
                </c:pt>
                <c:pt idx="3">
                  <c:v>Σε προμηθευτές</c:v>
                </c:pt>
                <c:pt idx="4">
                  <c:v>Ενοικίου</c:v>
                </c:pt>
                <c:pt idx="5">
                  <c:v>Σε δόσεις για δάνεια</c:v>
                </c:pt>
                <c:pt idx="6">
                  <c:v>Στο ΙΚΑ </c:v>
                </c:pt>
              </c:strCache>
            </c:strRef>
          </c:cat>
          <c:val>
            <c:numRef>
              <c:f>Sheet1!$B$2:$H$2</c:f>
              <c:numCache>
                <c:formatCode>General</c:formatCode>
                <c:ptCount val="7"/>
                <c:pt idx="0">
                  <c:v>38.1</c:v>
                </c:pt>
                <c:pt idx="1">
                  <c:v>31.9</c:v>
                </c:pt>
                <c:pt idx="2">
                  <c:v>25.5</c:v>
                </c:pt>
                <c:pt idx="3">
                  <c:v>23.8</c:v>
                </c:pt>
                <c:pt idx="4">
                  <c:v>17.899999999999999</c:v>
                </c:pt>
                <c:pt idx="5">
                  <c:v>15.7</c:v>
                </c:pt>
                <c:pt idx="6">
                  <c:v>13</c:v>
                </c:pt>
              </c:numCache>
            </c:numRef>
          </c:val>
        </c:ser>
        <c:ser>
          <c:idx val="2"/>
          <c:order val="1"/>
          <c:tx>
            <c:strRef>
              <c:f>Sheet1!$A$3</c:f>
              <c:strCache>
                <c:ptCount val="1"/>
                <c:pt idx="0">
                  <c:v>Ιούλιος 2014</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6"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invertIfNegative val="0"/>
          <c:dLbls>
            <c:dLbl>
              <c:idx val="0"/>
              <c:layout>
                <c:manualLayout>
                  <c:x val="2.0490172207029086E-2"/>
                  <c:y val="-2.4422558946427048E-2"/>
                </c:manualLayout>
              </c:layout>
              <c:showLegendKey val="0"/>
              <c:showVal val="1"/>
              <c:showCatName val="0"/>
              <c:showSerName val="0"/>
              <c:showPercent val="0"/>
              <c:showBubbleSize val="0"/>
            </c:dLbl>
            <c:dLbl>
              <c:idx val="1"/>
              <c:layout>
                <c:manualLayout>
                  <c:x val="2.2395755811028914E-2"/>
                  <c:y val="-1.8138941470617766E-2"/>
                </c:manualLayout>
              </c:layout>
              <c:showLegendKey val="0"/>
              <c:showVal val="1"/>
              <c:showCatName val="0"/>
              <c:showSerName val="0"/>
              <c:showPercent val="0"/>
              <c:showBubbleSize val="0"/>
            </c:dLbl>
            <c:dLbl>
              <c:idx val="2"/>
              <c:layout>
                <c:manualLayout>
                  <c:x val="1.8627480338806984E-2"/>
                  <c:y val="-1.7718478103825312E-2"/>
                </c:manualLayout>
              </c:layout>
              <c:showLegendKey val="0"/>
              <c:showVal val="1"/>
              <c:showCatName val="0"/>
              <c:showSerName val="0"/>
              <c:showPercent val="0"/>
              <c:showBubbleSize val="0"/>
            </c:dLbl>
            <c:dLbl>
              <c:idx val="3"/>
              <c:layout>
                <c:manualLayout>
                  <c:x val="1.6774099519351264E-2"/>
                  <c:y val="-1.6457332886014513E-2"/>
                </c:manualLayout>
              </c:layout>
              <c:showLegendKey val="0"/>
              <c:showVal val="1"/>
              <c:showCatName val="0"/>
              <c:showSerName val="0"/>
              <c:showPercent val="0"/>
              <c:showBubbleSize val="0"/>
            </c:dLbl>
            <c:dLbl>
              <c:idx val="4"/>
              <c:layout>
                <c:manualLayout>
                  <c:x val="2.0490154615093785E-2"/>
                  <c:y val="-2.3518031927789028E-2"/>
                </c:manualLayout>
              </c:layout>
              <c:showLegendKey val="0"/>
              <c:showVal val="1"/>
              <c:showCatName val="0"/>
              <c:showSerName val="0"/>
              <c:showPercent val="0"/>
              <c:showBubbleSize val="0"/>
            </c:dLbl>
            <c:dLbl>
              <c:idx val="5"/>
              <c:layout>
                <c:manualLayout>
                  <c:x val="1.4987543079966656E-2"/>
                  <c:y val="-9.3300257861342589E-3"/>
                </c:manualLayout>
              </c:layout>
              <c:showLegendKey val="0"/>
              <c:showVal val="1"/>
              <c:showCatName val="0"/>
              <c:showSerName val="0"/>
              <c:showPercent val="0"/>
              <c:showBubbleSize val="0"/>
            </c:dLbl>
            <c:dLbl>
              <c:idx val="6"/>
              <c:layout>
                <c:manualLayout>
                  <c:x val="5.6203286549874956E-3"/>
                  <c:y val="-2.4438256840306576E-2"/>
                </c:manualLayout>
              </c:layout>
              <c:showLegendKey val="0"/>
              <c:showVal val="1"/>
              <c:showCatName val="0"/>
              <c:showSerName val="0"/>
              <c:showPercent val="0"/>
              <c:showBubbleSize val="0"/>
            </c:dLbl>
            <c:txPr>
              <a:bodyPr/>
              <a:lstStyle/>
              <a:p>
                <a:pPr>
                  <a:defRPr sz="900" b="1" i="0" u="none" strike="noStrike" baseline="0">
                    <a:solidFill>
                      <a:srgbClr val="000000"/>
                    </a:solidFill>
                    <a:latin typeface="Tahoma"/>
                    <a:ea typeface="Tahoma"/>
                    <a:cs typeface="Tahoma"/>
                  </a:defRPr>
                </a:pPr>
                <a:endParaRPr lang="el-GR"/>
              </a:p>
            </c:txPr>
            <c:showLegendKey val="0"/>
            <c:showVal val="1"/>
            <c:showCatName val="0"/>
            <c:showSerName val="0"/>
            <c:showPercent val="0"/>
            <c:showBubbleSize val="0"/>
            <c:showLeaderLines val="0"/>
          </c:dLbls>
          <c:cat>
            <c:strRef>
              <c:f>Sheet1!$B$1:$J$1</c:f>
              <c:strCache>
                <c:ptCount val="7"/>
                <c:pt idx="0">
                  <c:v>Στον ΟΑΕΕ </c:v>
                </c:pt>
                <c:pt idx="1">
                  <c:v>Στην εφορία </c:v>
                </c:pt>
                <c:pt idx="2">
                  <c:v>Σε ΔΕΚΟ</c:v>
                </c:pt>
                <c:pt idx="3">
                  <c:v>Σε προμηθευτές</c:v>
                </c:pt>
                <c:pt idx="4">
                  <c:v>Ενοικίου</c:v>
                </c:pt>
                <c:pt idx="5">
                  <c:v>Σε δόσεις για δάνεια</c:v>
                </c:pt>
                <c:pt idx="6">
                  <c:v>Στο ΙΚΑ </c:v>
                </c:pt>
              </c:strCache>
            </c:strRef>
          </c:cat>
          <c:val>
            <c:numRef>
              <c:f>Sheet1!$B$3:$H$3</c:f>
              <c:numCache>
                <c:formatCode>General</c:formatCode>
                <c:ptCount val="7"/>
                <c:pt idx="0">
                  <c:v>41.7</c:v>
                </c:pt>
                <c:pt idx="1">
                  <c:v>31.8</c:v>
                </c:pt>
                <c:pt idx="2">
                  <c:v>31.6</c:v>
                </c:pt>
                <c:pt idx="3">
                  <c:v>27.2</c:v>
                </c:pt>
                <c:pt idx="4">
                  <c:v>24.7</c:v>
                </c:pt>
                <c:pt idx="5">
                  <c:v>26.5</c:v>
                </c:pt>
                <c:pt idx="6">
                  <c:v>20.9</c:v>
                </c:pt>
              </c:numCache>
            </c:numRef>
          </c:val>
        </c:ser>
        <c:dLbls>
          <c:showLegendKey val="0"/>
          <c:showVal val="1"/>
          <c:showCatName val="0"/>
          <c:showSerName val="0"/>
          <c:showPercent val="0"/>
          <c:showBubbleSize val="0"/>
        </c:dLbls>
        <c:gapWidth val="150"/>
        <c:shape val="box"/>
        <c:axId val="113537792"/>
        <c:axId val="113539328"/>
        <c:axId val="107523584"/>
      </c:bar3DChart>
      <c:catAx>
        <c:axId val="113537792"/>
        <c:scaling>
          <c:orientation val="minMax"/>
        </c:scaling>
        <c:delete val="0"/>
        <c:axPos val="b"/>
        <c:numFmt formatCode="General" sourceLinked="1"/>
        <c:majorTickMark val="none"/>
        <c:minorTickMark val="none"/>
        <c:tickLblPos val="nextTo"/>
        <c:txPr>
          <a:bodyPr rot="0" vert="horz"/>
          <a:lstStyle/>
          <a:p>
            <a:pPr>
              <a:defRPr sz="850" b="1" i="0" u="none" strike="noStrike" baseline="0">
                <a:solidFill>
                  <a:srgbClr val="000000"/>
                </a:solidFill>
                <a:latin typeface="Tahoma"/>
                <a:ea typeface="Tahoma"/>
                <a:cs typeface="Tahoma"/>
              </a:defRPr>
            </a:pPr>
            <a:endParaRPr lang="el-GR"/>
          </a:p>
        </c:txPr>
        <c:crossAx val="113539328"/>
        <c:crosses val="autoZero"/>
        <c:auto val="1"/>
        <c:lblAlgn val="ctr"/>
        <c:lblOffset val="100"/>
        <c:noMultiLvlLbl val="0"/>
      </c:catAx>
      <c:valAx>
        <c:axId val="113539328"/>
        <c:scaling>
          <c:orientation val="minMax"/>
        </c:scaling>
        <c:delete val="1"/>
        <c:axPos val="l"/>
        <c:numFmt formatCode="General" sourceLinked="1"/>
        <c:majorTickMark val="out"/>
        <c:minorTickMark val="none"/>
        <c:tickLblPos val="nextTo"/>
        <c:crossAx val="113537792"/>
        <c:crosses val="autoZero"/>
        <c:crossBetween val="between"/>
      </c:valAx>
      <c:serAx>
        <c:axId val="107523584"/>
        <c:scaling>
          <c:orientation val="minMax"/>
        </c:scaling>
        <c:delete val="1"/>
        <c:axPos val="b"/>
        <c:majorTickMark val="out"/>
        <c:minorTickMark val="none"/>
        <c:tickLblPos val="nextTo"/>
        <c:crossAx val="113539328"/>
        <c:crosses val="autoZero"/>
      </c:serAx>
      <c:spPr>
        <a:noFill/>
        <a:ln w="25403">
          <a:noFill/>
        </a:ln>
      </c:spPr>
    </c:plotArea>
    <c:legend>
      <c:legendPos val="t"/>
      <c:layout>
        <c:manualLayout>
          <c:xMode val="edge"/>
          <c:yMode val="edge"/>
          <c:x val="0.33571009290643228"/>
          <c:y val="1.8660160744901691E-2"/>
          <c:w val="0.30984511075128784"/>
          <c:h val="5.9394948323492625E-2"/>
        </c:manualLayout>
      </c:layout>
      <c:overlay val="0"/>
      <c:txPr>
        <a:bodyPr/>
        <a:lstStyle/>
        <a:p>
          <a:pPr>
            <a:defRPr sz="825" b="1" i="0" u="none" strike="noStrike" baseline="0">
              <a:solidFill>
                <a:srgbClr val="000000"/>
              </a:solidFill>
              <a:latin typeface="Tahoma"/>
              <a:ea typeface="Tahoma"/>
              <a:cs typeface="Tahoma"/>
            </a:defRPr>
          </a:pPr>
          <a:endParaRPr lang="el-GR"/>
        </a:p>
      </c:txPr>
    </c:legend>
    <c:plotVisOnly val="1"/>
    <c:dispBlanksAs val="zero"/>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l-G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xPr>
        <a:bodyPr/>
        <a:lstStyle/>
        <a:p>
          <a:pPr>
            <a:defRPr sz="1800" b="1" i="0" u="none" strike="noStrike" baseline="0">
              <a:solidFill>
                <a:srgbClr val="000000"/>
              </a:solidFill>
              <a:latin typeface="Calibri"/>
              <a:ea typeface="Calibri"/>
              <a:cs typeface="Calibri"/>
            </a:defRPr>
          </a:pPr>
          <a:endParaRPr lang="el-GR"/>
        </a:p>
      </c:txPr>
    </c:title>
    <c:autoTitleDeleted val="0"/>
    <c:view3D>
      <c:rotX val="15"/>
      <c:rotY val="40"/>
      <c:rAngAx val="0"/>
      <c:perspective val="0"/>
    </c:view3D>
    <c:floor>
      <c:thickness val="0"/>
    </c:floor>
    <c:sideWall>
      <c:thickness val="0"/>
    </c:sideWall>
    <c:backWall>
      <c:thickness val="0"/>
    </c:backWall>
    <c:plotArea>
      <c:layout>
        <c:manualLayout>
          <c:layoutTarget val="inner"/>
          <c:xMode val="edge"/>
          <c:yMode val="edge"/>
          <c:x val="1.3582342954159592E-2"/>
          <c:y val="0.24514563106796117"/>
          <c:w val="0.92869269949066213"/>
          <c:h val="0.52669902912621358"/>
        </c:manualLayout>
      </c:layout>
      <c:pie3DChart>
        <c:varyColors val="1"/>
        <c:ser>
          <c:idx val="0"/>
          <c:order val="0"/>
          <c:tx>
            <c:strRef>
              <c:f>Sheet1!$A$2</c:f>
              <c:strCache>
                <c:ptCount val="1"/>
              </c:strCache>
            </c:strRef>
          </c:tx>
          <c:explosion val="14"/>
          <c:dPt>
            <c:idx val="0"/>
            <c:bubble3D val="0"/>
            <c:explosion val="7"/>
            <c:spPr>
              <a:solidFill>
                <a:schemeClr val="accent3">
                  <a:lumMod val="75000"/>
                </a:schemeClr>
              </a:solidFill>
              <a:ln>
                <a:solidFill>
                  <a:schemeClr val="accent3">
                    <a:lumMod val="75000"/>
                  </a:schemeClr>
                </a:solidFill>
              </a:ln>
            </c:spPr>
          </c:dPt>
          <c:dPt>
            <c:idx val="1"/>
            <c:bubble3D val="0"/>
            <c:explosion val="3"/>
            <c:spPr>
              <a:solidFill>
                <a:schemeClr val="accent1">
                  <a:lumMod val="75000"/>
                </a:schemeClr>
              </a:solidFill>
              <a:ln>
                <a:solidFill>
                  <a:schemeClr val="accent1">
                    <a:lumMod val="75000"/>
                  </a:schemeClr>
                </a:solidFill>
              </a:ln>
            </c:spPr>
          </c:dPt>
          <c:dPt>
            <c:idx val="2"/>
            <c:bubble3D val="0"/>
            <c:explosion val="10"/>
            <c:spPr>
              <a:solidFill>
                <a:srgbClr val="C00000"/>
              </a:solidFill>
              <a:ln>
                <a:solidFill>
                  <a:srgbClr val="C00000"/>
                </a:solidFill>
              </a:ln>
            </c:spPr>
          </c:dPt>
          <c:dPt>
            <c:idx val="3"/>
            <c:bubble3D val="0"/>
            <c:explosion val="27"/>
            <c:spPr>
              <a:solidFill>
                <a:sysClr val="window" lastClr="FFFFFF"/>
              </a:solidFill>
            </c:spPr>
          </c:dPt>
          <c:dPt>
            <c:idx val="4"/>
            <c:bubble3D val="0"/>
            <c:spPr>
              <a:solidFill>
                <a:schemeClr val="bg1">
                  <a:lumMod val="50000"/>
                </a:schemeClr>
              </a:solidFill>
              <a:ln>
                <a:solidFill>
                  <a:schemeClr val="bg1">
                    <a:lumMod val="50000"/>
                  </a:schemeClr>
                </a:solidFill>
              </a:ln>
            </c:spPr>
          </c:dPt>
          <c:dLbls>
            <c:dLbl>
              <c:idx val="0"/>
              <c:layout>
                <c:manualLayout>
                  <c:x val="-9.8698773764390568E-2"/>
                  <c:y val="0.17431682818493843"/>
                </c:manualLayout>
              </c:layout>
              <c:dLblPos val="bestFit"/>
              <c:showLegendKey val="0"/>
              <c:showVal val="0"/>
              <c:showCatName val="1"/>
              <c:showSerName val="0"/>
              <c:showPercent val="1"/>
              <c:showBubbleSize val="0"/>
            </c:dLbl>
            <c:dLbl>
              <c:idx val="1"/>
              <c:layout>
                <c:manualLayout>
                  <c:x val="5.3276488587074761E-2"/>
                  <c:y val="7.2568140520896426E-2"/>
                </c:manualLayout>
              </c:layout>
              <c:dLblPos val="bestFit"/>
              <c:showLegendKey val="0"/>
              <c:showVal val="0"/>
              <c:showCatName val="1"/>
              <c:showSerName val="0"/>
              <c:showPercent val="1"/>
              <c:showBubbleSize val="0"/>
            </c:dLbl>
            <c:dLbl>
              <c:idx val="2"/>
              <c:layout>
                <c:manualLayout>
                  <c:x val="-1.0059853629407435E-2"/>
                  <c:y val="-2.752952755905512E-2"/>
                </c:manualLayout>
              </c:layout>
              <c:dLblPos val="bestFit"/>
              <c:showLegendKey val="0"/>
              <c:showVal val="0"/>
              <c:showCatName val="1"/>
              <c:showSerName val="0"/>
              <c:showPercent val="1"/>
              <c:showBubbleSize val="0"/>
            </c:dLbl>
            <c:dLbl>
              <c:idx val="3"/>
              <c:layout>
                <c:manualLayout>
                  <c:x val="-8.257449300318942E-2"/>
                  <c:y val="-1.7154502321825155E-2"/>
                </c:manualLayout>
              </c:layout>
              <c:dLblPos val="bestFit"/>
              <c:showLegendKey val="0"/>
              <c:showVal val="0"/>
              <c:showCatName val="1"/>
              <c:showSerName val="0"/>
              <c:showPercent val="1"/>
              <c:showBubbleSize val="0"/>
            </c:dLbl>
            <c:dLbl>
              <c:idx val="4"/>
              <c:layout/>
              <c:tx>
                <c:rich>
                  <a:bodyPr/>
                  <a:lstStyle/>
                  <a:p>
                    <a:r>
                      <a:rPr lang="el-GR" sz="800"/>
                      <a:t>ΔΑ</a:t>
                    </a:r>
                    <a:r>
                      <a:rPr lang="el-GR" sz="800" b="0" i="0" u="none" strike="noStrike" baseline="0"/>
                      <a:t> </a:t>
                    </a:r>
                  </a:p>
                  <a:p>
                    <a:r>
                      <a:rPr lang="en-US" sz="800"/>
                      <a:t>4%</a:t>
                    </a:r>
                    <a:endParaRPr lang="en-US"/>
                  </a:p>
                </c:rich>
              </c:tx>
              <c:dLblPos val="bestFit"/>
              <c:showLegendKey val="0"/>
              <c:showVal val="0"/>
              <c:showCatName val="0"/>
              <c:showSerName val="0"/>
              <c:showPercent val="0"/>
              <c:showBubbleSize val="0"/>
            </c:dLbl>
            <c:dLbl>
              <c:idx val="5"/>
              <c:layout>
                <c:manualLayout>
                  <c:x val="8.34609796782247E-3"/>
                  <c:y val="-3.8480971128608925E-2"/>
                </c:manualLayout>
              </c:layout>
              <c:dLblPos val="bestFit"/>
              <c:showLegendKey val="0"/>
              <c:showVal val="0"/>
              <c:showCatName val="1"/>
              <c:showSerName val="0"/>
              <c:showPercent val="1"/>
              <c:showBubbleSize val="0"/>
            </c:dLbl>
            <c:numFmt formatCode="0.0%" sourceLinked="0"/>
            <c:txPr>
              <a:bodyPr/>
              <a:lstStyle/>
              <a:p>
                <a:pPr>
                  <a:defRPr sz="800" b="1" i="0" u="none" strike="noStrike" baseline="0">
                    <a:solidFill>
                      <a:srgbClr val="000000"/>
                    </a:solidFill>
                    <a:latin typeface="Tahoma"/>
                    <a:ea typeface="Tahoma"/>
                    <a:cs typeface="Tahoma"/>
                  </a:defRPr>
                </a:pPr>
                <a:endParaRPr lang="el-GR"/>
              </a:p>
            </c:txPr>
            <c:showLegendKey val="0"/>
            <c:showVal val="0"/>
            <c:showCatName val="1"/>
            <c:showSerName val="0"/>
            <c:showPercent val="1"/>
            <c:showBubbleSize val="0"/>
            <c:showLeaderLines val="0"/>
          </c:dLbls>
          <c:cat>
            <c:strRef>
              <c:f>Sheet1!$B$1:$F$1</c:f>
              <c:strCache>
                <c:ptCount val="5"/>
                <c:pt idx="0">
                  <c:v>Πρέπει να είναι προτεραιότητα της νέας κυβέρνησης</c:v>
                </c:pt>
                <c:pt idx="1">
                  <c:v>Είναι σημαντικό, αλλά όχι πρωτεύον</c:v>
                </c:pt>
                <c:pt idx="2">
                  <c:v>Διαφωνώ ως προς την αναγκαιότητα</c:v>
                </c:pt>
                <c:pt idx="3">
                  <c:v>Δεν με αφορά, είμαι αδιάφορος</c:v>
                </c:pt>
                <c:pt idx="4">
                  <c:v>Δ Α</c:v>
                </c:pt>
              </c:strCache>
            </c:strRef>
          </c:cat>
          <c:val>
            <c:numRef>
              <c:f>Sheet1!$B$2:$F$2</c:f>
              <c:numCache>
                <c:formatCode>General</c:formatCode>
                <c:ptCount val="5"/>
                <c:pt idx="0">
                  <c:v>33.1</c:v>
                </c:pt>
                <c:pt idx="1">
                  <c:v>40.299999999999997</c:v>
                </c:pt>
                <c:pt idx="2">
                  <c:v>11.4</c:v>
                </c:pt>
                <c:pt idx="3">
                  <c:v>11.2</c:v>
                </c:pt>
                <c:pt idx="4">
                  <c:v>4</c:v>
                </c:pt>
              </c:numCache>
            </c:numRef>
          </c:val>
        </c:ser>
        <c:dLbls>
          <c:showLegendKey val="0"/>
          <c:showVal val="0"/>
          <c:showCatName val="1"/>
          <c:showSerName val="0"/>
          <c:showPercent val="1"/>
          <c:showBubbleSize val="0"/>
          <c:showLeaderLines val="0"/>
        </c:dLbls>
      </c:pie3DChart>
      <c:spPr>
        <a:noFill/>
        <a:ln w="25400">
          <a:noFill/>
        </a:ln>
      </c:spPr>
    </c:plotArea>
    <c:plotVisOnly val="1"/>
    <c:dispBlanksAs val="zero"/>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l-G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xPr>
        <a:bodyPr/>
        <a:lstStyle/>
        <a:p>
          <a:pPr>
            <a:defRPr sz="1800" b="1" i="0" u="none" strike="noStrike" baseline="0">
              <a:solidFill>
                <a:srgbClr val="000000"/>
              </a:solidFill>
              <a:latin typeface="Calibri"/>
              <a:ea typeface="Calibri"/>
              <a:cs typeface="Calibri"/>
            </a:defRPr>
          </a:pPr>
          <a:endParaRPr lang="el-GR"/>
        </a:p>
      </c:txPr>
    </c:title>
    <c:autoTitleDeleted val="0"/>
    <c:view3D>
      <c:rotX val="15"/>
      <c:rotY val="40"/>
      <c:rAngAx val="0"/>
      <c:perspective val="0"/>
    </c:view3D>
    <c:floor>
      <c:thickness val="0"/>
    </c:floor>
    <c:sideWall>
      <c:thickness val="0"/>
    </c:sideWall>
    <c:backWall>
      <c:thickness val="0"/>
    </c:backWall>
    <c:plotArea>
      <c:layout>
        <c:manualLayout>
          <c:layoutTarget val="inner"/>
          <c:xMode val="edge"/>
          <c:yMode val="edge"/>
          <c:x val="3.0793719598345454E-2"/>
          <c:y val="0.2957393483709273"/>
          <c:w val="0.90339619262163773"/>
          <c:h val="0.45414835674014553"/>
        </c:manualLayout>
      </c:layout>
      <c:pie3DChart>
        <c:varyColors val="1"/>
        <c:ser>
          <c:idx val="0"/>
          <c:order val="0"/>
          <c:tx>
            <c:strRef>
              <c:f>Sheet1!$A$2</c:f>
              <c:strCache>
                <c:ptCount val="1"/>
              </c:strCache>
            </c:strRef>
          </c:tx>
          <c:explosion val="11"/>
          <c:dPt>
            <c:idx val="0"/>
            <c:bubble3D val="0"/>
            <c:spPr>
              <a:solidFill>
                <a:srgbClr val="92D050"/>
              </a:solidFill>
              <a:ln>
                <a:solidFill>
                  <a:srgbClr val="92D050"/>
                </a:solidFill>
              </a:ln>
            </c:spPr>
          </c:dPt>
          <c:dPt>
            <c:idx val="1"/>
            <c:bubble3D val="0"/>
          </c:dPt>
          <c:dPt>
            <c:idx val="2"/>
            <c:bubble3D val="0"/>
            <c:spPr>
              <a:solidFill>
                <a:schemeClr val="accent1">
                  <a:lumMod val="75000"/>
                </a:schemeClr>
              </a:solidFill>
              <a:ln>
                <a:solidFill>
                  <a:schemeClr val="accent1">
                    <a:lumMod val="50000"/>
                  </a:schemeClr>
                </a:solidFill>
              </a:ln>
            </c:spPr>
          </c:dPt>
          <c:dPt>
            <c:idx val="3"/>
            <c:bubble3D val="0"/>
            <c:spPr>
              <a:solidFill>
                <a:sysClr val="window" lastClr="FFFFFF"/>
              </a:solidFill>
            </c:spPr>
          </c:dPt>
          <c:dLbls>
            <c:dLbl>
              <c:idx val="0"/>
              <c:layout>
                <c:manualLayout>
                  <c:x val="-1.2982472618358094E-4"/>
                  <c:y val="-3.9489537492024024E-2"/>
                </c:manualLayout>
              </c:layout>
              <c:dLblPos val="bestFit"/>
              <c:showLegendKey val="0"/>
              <c:showVal val="0"/>
              <c:showCatName val="1"/>
              <c:showSerName val="0"/>
              <c:showPercent val="1"/>
              <c:showBubbleSize val="0"/>
            </c:dLbl>
            <c:dLbl>
              <c:idx val="1"/>
              <c:layout>
                <c:manualLayout>
                  <c:x val="5.3130247387068667E-2"/>
                  <c:y val="-1.9277327176208236E-2"/>
                </c:manualLayout>
              </c:layout>
              <c:dLblPos val="bestFit"/>
              <c:showLegendKey val="0"/>
              <c:showVal val="0"/>
              <c:showCatName val="1"/>
              <c:showSerName val="0"/>
              <c:showPercent val="1"/>
              <c:showBubbleSize val="0"/>
            </c:dLbl>
            <c:dLbl>
              <c:idx val="2"/>
              <c:layout>
                <c:manualLayout>
                  <c:x val="7.1570576540755465E-2"/>
                  <c:y val="-0.10185910971654862"/>
                </c:manualLayout>
              </c:layout>
              <c:tx>
                <c:rich>
                  <a:bodyPr/>
                  <a:lstStyle/>
                  <a:p>
                    <a:pPr>
                      <a:defRPr sz="800" b="1" i="0" u="none" strike="noStrike" baseline="0">
                        <a:solidFill>
                          <a:srgbClr val="000000"/>
                        </a:solidFill>
                        <a:latin typeface="Tahoma"/>
                        <a:ea typeface="Tahoma"/>
                        <a:cs typeface="Tahoma"/>
                      </a:defRPr>
                    </a:pPr>
                    <a:r>
                      <a:rPr lang="el-GR" sz="800"/>
                      <a:t>Δεν με αφορά/ δεν άνοιξα/ άνοιγα πάντα
55,1%</a:t>
                    </a:r>
                  </a:p>
                </c:rich>
              </c:tx>
              <c:numFmt formatCode="0.0%" sourceLinked="0"/>
              <c:spPr/>
              <c:dLblPos val="bestFit"/>
              <c:showLegendKey val="0"/>
              <c:showVal val="0"/>
              <c:showCatName val="0"/>
              <c:showSerName val="0"/>
              <c:showPercent val="0"/>
              <c:showBubbleSize val="0"/>
            </c:dLbl>
            <c:dLbl>
              <c:idx val="3"/>
              <c:layout>
                <c:manualLayout>
                  <c:x val="-5.3015241882041084E-2"/>
                  <c:y val="-4.0100250626566414E-2"/>
                </c:manualLayout>
              </c:layout>
              <c:dLblPos val="bestFit"/>
              <c:showLegendKey val="0"/>
              <c:showVal val="0"/>
              <c:showCatName val="1"/>
              <c:showSerName val="0"/>
              <c:showPercent val="1"/>
              <c:showBubbleSize val="0"/>
            </c:dLbl>
            <c:dLbl>
              <c:idx val="4"/>
              <c:delete val="1"/>
            </c:dLbl>
            <c:dLbl>
              <c:idx val="5"/>
              <c:layout>
                <c:manualLayout>
                  <c:x val="8.34609796782247E-3"/>
                  <c:y val="-3.8480971128608925E-2"/>
                </c:manualLayout>
              </c:layout>
              <c:dLblPos val="bestFit"/>
              <c:showLegendKey val="0"/>
              <c:showVal val="0"/>
              <c:showCatName val="1"/>
              <c:showSerName val="0"/>
              <c:showPercent val="1"/>
              <c:showBubbleSize val="0"/>
            </c:dLbl>
            <c:numFmt formatCode="0.0%" sourceLinked="0"/>
            <c:txPr>
              <a:bodyPr/>
              <a:lstStyle/>
              <a:p>
                <a:pPr>
                  <a:defRPr sz="700" b="1" i="0" u="none" strike="noStrike" baseline="0">
                    <a:solidFill>
                      <a:srgbClr val="000000"/>
                    </a:solidFill>
                    <a:latin typeface="Tahoma"/>
                    <a:ea typeface="Tahoma"/>
                    <a:cs typeface="Tahoma"/>
                  </a:defRPr>
                </a:pPr>
                <a:endParaRPr lang="el-GR"/>
              </a:p>
            </c:txPr>
            <c:showLegendKey val="0"/>
            <c:showVal val="0"/>
            <c:showCatName val="1"/>
            <c:showSerName val="0"/>
            <c:showPercent val="1"/>
            <c:showBubbleSize val="0"/>
            <c:showLeaderLines val="0"/>
          </c:dLbls>
          <c:cat>
            <c:strRef>
              <c:f>Sheet1!$B$1:$E$1</c:f>
              <c:strCache>
                <c:ptCount val="4"/>
                <c:pt idx="0">
                  <c:v>Ναι</c:v>
                </c:pt>
                <c:pt idx="1">
                  <c:v>Όχι</c:v>
                </c:pt>
                <c:pt idx="2">
                  <c:v>Δεν με αφορά δεν άνοιξα άνοιγα πάντα</c:v>
                </c:pt>
                <c:pt idx="3">
                  <c:v>Δ Α</c:v>
                </c:pt>
              </c:strCache>
            </c:strRef>
          </c:cat>
          <c:val>
            <c:numRef>
              <c:f>Sheet1!$B$2:$E$2</c:f>
              <c:numCache>
                <c:formatCode>General</c:formatCode>
                <c:ptCount val="4"/>
                <c:pt idx="0">
                  <c:v>4</c:v>
                </c:pt>
                <c:pt idx="1">
                  <c:v>39.700000000000003</c:v>
                </c:pt>
                <c:pt idx="2">
                  <c:v>55.1</c:v>
                </c:pt>
                <c:pt idx="3">
                  <c:v>1.2</c:v>
                </c:pt>
              </c:numCache>
            </c:numRef>
          </c:val>
        </c:ser>
        <c:dLbls>
          <c:showLegendKey val="0"/>
          <c:showVal val="0"/>
          <c:showCatName val="1"/>
          <c:showSerName val="0"/>
          <c:showPercent val="1"/>
          <c:showBubbleSize val="0"/>
          <c:showLeaderLines val="0"/>
        </c:dLbls>
      </c:pie3DChart>
      <c:spPr>
        <a:noFill/>
        <a:ln w="25399">
          <a:noFill/>
        </a:ln>
      </c:spPr>
    </c:plotArea>
    <c:plotVisOnly val="1"/>
    <c:dispBlanksAs val="zero"/>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l-GR"/>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42419-AC0F-41B8-B9AD-F1BC8523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11</Pages>
  <Words>3567</Words>
  <Characters>21867</Characters>
  <Application>Microsoft Office Word</Application>
  <DocSecurity>0</DocSecurity>
  <Lines>182</Lines>
  <Paragraphs>50</Paragraphs>
  <ScaleCrop>false</ScaleCrop>
  <HeadingPairs>
    <vt:vector size="2" baseType="variant">
      <vt:variant>
        <vt:lpstr>Τίτλος</vt:lpstr>
      </vt:variant>
      <vt:variant>
        <vt:i4>1</vt:i4>
      </vt:variant>
    </vt:vector>
  </HeadingPairs>
  <TitlesOfParts>
    <vt:vector size="1" baseType="lpstr">
      <vt:lpstr/>
    </vt:vector>
  </TitlesOfParts>
  <Company>ΓΣΕΒΕΕ</Company>
  <LinksUpToDate>false</LinksUpToDate>
  <CharactersWithSpaces>25384</CharactersWithSpaces>
  <SharedDoc>false</SharedDoc>
  <HLinks>
    <vt:vector size="12" baseType="variant">
      <vt:variant>
        <vt:i4>8060992</vt:i4>
      </vt:variant>
      <vt:variant>
        <vt:i4>3</vt:i4>
      </vt:variant>
      <vt:variant>
        <vt:i4>0</vt:i4>
      </vt:variant>
      <vt:variant>
        <vt:i4>5</vt:i4>
      </vt:variant>
      <vt:variant>
        <vt:lpwstr>mailto:info@imegsevee.gr</vt:lpwstr>
      </vt:variant>
      <vt:variant>
        <vt:lpwstr/>
      </vt:variant>
      <vt:variant>
        <vt:i4>983046</vt:i4>
      </vt:variant>
      <vt:variant>
        <vt:i4>0</vt:i4>
      </vt:variant>
      <vt:variant>
        <vt:i4>0</vt:i4>
      </vt:variant>
      <vt:variant>
        <vt:i4>5</vt:i4>
      </vt:variant>
      <vt:variant>
        <vt:lpwstr>http://www.imegsevee.gr/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lioliou</dc:creator>
  <cp:lastModifiedBy>Δημήτρης Μπίμπας</cp:lastModifiedBy>
  <cp:revision>16</cp:revision>
  <cp:lastPrinted>2015-03-24T12:02:00Z</cp:lastPrinted>
  <dcterms:created xsi:type="dcterms:W3CDTF">2015-03-10T15:26:00Z</dcterms:created>
  <dcterms:modified xsi:type="dcterms:W3CDTF">2015-03-24T12:30:00Z</dcterms:modified>
</cp:coreProperties>
</file>